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39D" w:rsidRPr="00320965" w:rsidRDefault="00486D4B" w:rsidP="0077339D">
      <w:pPr>
        <w:pStyle w:val="Prrafodelista"/>
        <w:widowControl/>
        <w:suppressAutoHyphens w:val="0"/>
        <w:ind w:left="1418" w:right="1558"/>
        <w:jc w:val="both"/>
        <w:rPr>
          <w:rFonts w:ascii="Tahoma" w:hAnsi="Tahoma" w:cs="Tahoma"/>
          <w:i/>
          <w:sz w:val="22"/>
          <w:szCs w:val="22"/>
        </w:rPr>
      </w:pPr>
      <w:r w:rsidRPr="00320965">
        <w:rPr>
          <w:rFonts w:ascii="Tahoma" w:hAnsi="Tahoma" w:cs="Tahoma"/>
          <w:b/>
          <w:i/>
          <w:sz w:val="22"/>
          <w:szCs w:val="22"/>
        </w:rPr>
        <w:t>Sumilla:</w:t>
      </w:r>
      <w:r w:rsidRPr="00320965">
        <w:rPr>
          <w:rFonts w:ascii="Tahoma" w:hAnsi="Tahoma" w:cs="Tahoma"/>
          <w:i/>
          <w:sz w:val="22"/>
          <w:szCs w:val="22"/>
        </w:rPr>
        <w:t xml:space="preserve"> “Es </w:t>
      </w:r>
      <w:r w:rsidR="0077339D" w:rsidRPr="00320965">
        <w:rPr>
          <w:rFonts w:ascii="Tahoma" w:hAnsi="Tahoma" w:cs="Tahoma"/>
          <w:i/>
          <w:sz w:val="22"/>
          <w:szCs w:val="22"/>
        </w:rPr>
        <w:t>fundado el recurso de apelación cuando la motivación de la Resolución recae en que las decisiones de la Administración Pública deben denotar criterios de razonabilidad y proporcionalidad en la aplicación de la norma, sin que ello implique someterse al yugo de la formalidad insensible e ineficiente.”</w:t>
      </w:r>
    </w:p>
    <w:p w:rsidR="00486D4B" w:rsidRPr="00320965" w:rsidRDefault="00486D4B" w:rsidP="0077339D">
      <w:pPr>
        <w:ind w:left="1843" w:right="991"/>
        <w:jc w:val="both"/>
        <w:rPr>
          <w:rFonts w:ascii="Tahoma" w:hAnsi="Tahoma" w:cs="Tahoma"/>
          <w:i/>
          <w:sz w:val="22"/>
          <w:szCs w:val="22"/>
          <w:lang w:val="es-ES_tradnl"/>
        </w:rPr>
      </w:pPr>
    </w:p>
    <w:p w:rsidR="00486D4B" w:rsidRPr="00320965" w:rsidRDefault="00486D4B" w:rsidP="00486D4B">
      <w:pPr>
        <w:pStyle w:val="Textoindependiente3"/>
        <w:spacing w:after="0"/>
        <w:ind w:left="5387"/>
        <w:jc w:val="both"/>
        <w:rPr>
          <w:rFonts w:ascii="Tahoma" w:hAnsi="Tahoma" w:cs="Tahoma"/>
          <w:b/>
          <w:sz w:val="22"/>
          <w:szCs w:val="22"/>
        </w:rPr>
      </w:pPr>
      <w:r w:rsidRPr="00320965">
        <w:rPr>
          <w:rFonts w:ascii="Tahoma" w:hAnsi="Tahoma" w:cs="Tahoma"/>
          <w:b/>
          <w:sz w:val="22"/>
          <w:szCs w:val="22"/>
        </w:rPr>
        <w:t>Lima,</w:t>
      </w:r>
      <w:r w:rsidR="00491486">
        <w:rPr>
          <w:rFonts w:ascii="Tahoma" w:hAnsi="Tahoma" w:cs="Tahoma"/>
          <w:b/>
          <w:sz w:val="22"/>
          <w:szCs w:val="22"/>
        </w:rPr>
        <w:t xml:space="preserve"> 20 de Abril de 2011</w:t>
      </w:r>
    </w:p>
    <w:p w:rsidR="00486D4B" w:rsidRPr="00320965" w:rsidRDefault="00486D4B" w:rsidP="00486D4B">
      <w:pPr>
        <w:pStyle w:val="Textoindependiente3"/>
        <w:spacing w:after="0"/>
        <w:ind w:left="5387"/>
        <w:jc w:val="both"/>
        <w:rPr>
          <w:rFonts w:ascii="Tahoma" w:hAnsi="Tahoma" w:cs="Tahoma"/>
          <w:b/>
          <w:sz w:val="22"/>
          <w:szCs w:val="22"/>
        </w:rPr>
      </w:pPr>
    </w:p>
    <w:p w:rsidR="00CA5F32" w:rsidRPr="00320965" w:rsidRDefault="00486D4B" w:rsidP="00CA5F32">
      <w:pPr>
        <w:contextualSpacing/>
        <w:jc w:val="both"/>
        <w:rPr>
          <w:rFonts w:ascii="Tahoma" w:hAnsi="Tahoma" w:cs="Tahoma"/>
          <w:sz w:val="22"/>
          <w:szCs w:val="22"/>
        </w:rPr>
      </w:pPr>
      <w:r w:rsidRPr="00320965">
        <w:rPr>
          <w:rFonts w:ascii="Tahoma" w:hAnsi="Tahoma" w:cs="Tahoma"/>
          <w:b/>
          <w:sz w:val="22"/>
          <w:szCs w:val="22"/>
        </w:rPr>
        <w:t xml:space="preserve">Visto </w:t>
      </w:r>
      <w:r w:rsidRPr="00320965">
        <w:rPr>
          <w:rFonts w:ascii="Tahoma" w:hAnsi="Tahoma" w:cs="Tahoma"/>
          <w:sz w:val="22"/>
          <w:szCs w:val="22"/>
        </w:rPr>
        <w:t xml:space="preserve">en sesión de fecha 20 de abril de 2011 la Primera Sala del Tribunal de Contrataciones del Estado el Expediente N° </w:t>
      </w:r>
      <w:r w:rsidR="00CA5F32" w:rsidRPr="00320965">
        <w:rPr>
          <w:rFonts w:ascii="Tahoma" w:hAnsi="Tahoma" w:cs="Tahoma"/>
          <w:sz w:val="22"/>
          <w:szCs w:val="22"/>
        </w:rPr>
        <w:t>160</w:t>
      </w:r>
      <w:r w:rsidRPr="00320965">
        <w:rPr>
          <w:rFonts w:ascii="Tahoma" w:hAnsi="Tahoma" w:cs="Tahoma"/>
          <w:sz w:val="22"/>
          <w:szCs w:val="22"/>
        </w:rPr>
        <w:t>-</w:t>
      </w:r>
      <w:r w:rsidR="00CA5F32" w:rsidRPr="00320965">
        <w:rPr>
          <w:rFonts w:ascii="Tahoma" w:hAnsi="Tahoma" w:cs="Tahoma"/>
          <w:sz w:val="22"/>
          <w:szCs w:val="22"/>
        </w:rPr>
        <w:t>2011</w:t>
      </w:r>
      <w:r w:rsidRPr="00320965">
        <w:rPr>
          <w:rFonts w:ascii="Tahoma" w:hAnsi="Tahoma" w:cs="Tahoma"/>
          <w:sz w:val="22"/>
          <w:szCs w:val="22"/>
        </w:rPr>
        <w:t xml:space="preserve">-TC; sobre el </w:t>
      </w:r>
      <w:r w:rsidR="00CA5F32" w:rsidRPr="00320965">
        <w:rPr>
          <w:rFonts w:ascii="Tahoma" w:hAnsi="Tahoma" w:cs="Tahoma"/>
          <w:sz w:val="22"/>
          <w:szCs w:val="22"/>
        </w:rPr>
        <w:t xml:space="preserve">recurso de apelación interpuesto por la empresa </w:t>
      </w:r>
      <w:r w:rsidRPr="00320965">
        <w:rPr>
          <w:rFonts w:ascii="Tahoma" w:hAnsi="Tahoma" w:cs="Tahoma"/>
          <w:sz w:val="22"/>
          <w:szCs w:val="22"/>
        </w:rPr>
        <w:t xml:space="preserve"> </w:t>
      </w:r>
      <w:r w:rsidR="00CA5F32" w:rsidRPr="00320965">
        <w:rPr>
          <w:rFonts w:ascii="Tahoma" w:hAnsi="Tahoma" w:cs="Tahoma"/>
          <w:sz w:val="22"/>
          <w:szCs w:val="22"/>
        </w:rPr>
        <w:t xml:space="preserve">Corporación Brillantina SRL, en contra de la Resolución de Alcaldía Nº 012-2011-MPSP/A de fecha 12 de enero de 2011, emitida por la Municipalidad Provincial de San Pablo, mediante el cual declaró la Nulidad de Oficio del Proceso de Adjudicación de Menor Cuantía Nº 022-2010-MPSP/CEP, convocado para la ejecución de la Obra:  “Construcción Pavimento JR. Trujillo, tramo el Jr. Cajamarca y Av. </w:t>
      </w:r>
      <w:r w:rsidR="00320965" w:rsidRPr="00320965">
        <w:rPr>
          <w:rFonts w:ascii="Tahoma" w:hAnsi="Tahoma" w:cs="Tahoma"/>
          <w:sz w:val="22"/>
          <w:szCs w:val="22"/>
        </w:rPr>
        <w:t>Julián</w:t>
      </w:r>
      <w:r w:rsidR="00CA5F32" w:rsidRPr="00320965">
        <w:rPr>
          <w:rFonts w:ascii="Tahoma" w:hAnsi="Tahoma" w:cs="Tahoma"/>
          <w:sz w:val="22"/>
          <w:szCs w:val="22"/>
        </w:rPr>
        <w:t xml:space="preserve"> Cruzado-Ciudad de San Pablo, Distrito de San Pablo, Provincia de San Pablo-Cajamarca I Etapa”. </w:t>
      </w:r>
    </w:p>
    <w:p w:rsidR="00486D4B" w:rsidRPr="00320965" w:rsidRDefault="00486D4B" w:rsidP="00486D4B">
      <w:pPr>
        <w:ind w:firstLine="567"/>
        <w:contextualSpacing/>
        <w:jc w:val="both"/>
        <w:rPr>
          <w:rFonts w:ascii="Tahoma" w:hAnsi="Tahoma" w:cs="Tahoma"/>
          <w:b/>
          <w:sz w:val="22"/>
          <w:szCs w:val="22"/>
          <w:lang w:val="es-ES_tradnl"/>
        </w:rPr>
      </w:pPr>
    </w:p>
    <w:p w:rsidR="00486D4B" w:rsidRPr="00320965" w:rsidRDefault="00486D4B" w:rsidP="00486D4B">
      <w:pPr>
        <w:pStyle w:val="Prrafodelista"/>
        <w:numPr>
          <w:ilvl w:val="0"/>
          <w:numId w:val="1"/>
        </w:numPr>
        <w:ind w:left="567" w:hanging="425"/>
        <w:rPr>
          <w:rFonts w:ascii="Tahoma" w:hAnsi="Tahoma" w:cs="Tahoma"/>
          <w:b/>
          <w:sz w:val="22"/>
          <w:szCs w:val="22"/>
        </w:rPr>
      </w:pPr>
      <w:r w:rsidRPr="00320965">
        <w:rPr>
          <w:rFonts w:ascii="Tahoma" w:hAnsi="Tahoma" w:cs="Tahoma"/>
          <w:b/>
          <w:sz w:val="22"/>
          <w:szCs w:val="22"/>
        </w:rPr>
        <w:t>ANTECEDENTES:</w:t>
      </w:r>
    </w:p>
    <w:p w:rsidR="00486D4B" w:rsidRPr="00320965" w:rsidRDefault="00486D4B" w:rsidP="00486D4B">
      <w:pPr>
        <w:jc w:val="both"/>
        <w:rPr>
          <w:rFonts w:ascii="Tahoma" w:hAnsi="Tahoma" w:cs="Tahoma"/>
          <w:b/>
          <w:sz w:val="22"/>
          <w:szCs w:val="22"/>
          <w:lang w:eastAsia="es-PE"/>
        </w:rPr>
      </w:pPr>
    </w:p>
    <w:p w:rsidR="00486D4B" w:rsidRPr="00320965" w:rsidRDefault="00486D4B" w:rsidP="00486D4B">
      <w:pPr>
        <w:pStyle w:val="Prrafodelista"/>
        <w:widowControl/>
        <w:numPr>
          <w:ilvl w:val="0"/>
          <w:numId w:val="8"/>
        </w:numPr>
        <w:suppressAutoHyphens w:val="0"/>
        <w:ind w:left="567" w:hanging="567"/>
        <w:contextualSpacing/>
        <w:jc w:val="both"/>
        <w:rPr>
          <w:rFonts w:ascii="Tahoma" w:hAnsi="Tahoma" w:cs="Tahoma"/>
          <w:sz w:val="22"/>
          <w:szCs w:val="22"/>
        </w:rPr>
      </w:pPr>
      <w:r w:rsidRPr="00320965">
        <w:rPr>
          <w:rFonts w:ascii="Tahoma" w:hAnsi="Tahoma" w:cs="Tahoma"/>
          <w:sz w:val="22"/>
          <w:szCs w:val="22"/>
        </w:rPr>
        <w:t xml:space="preserve">El 08 de febrero de 2011, a través de la Oficina desconcentrada de Cajamarca e ingresado a Mesa de Partes del Tribunal de Contrataciones del Estado, en adelante, el Tribunal el 15 de febrero de 2011, Corporación Brillantina SRL, en lo sucesivo, el Impugnante, interpuso Recurso de Apelación en contra de la Resolución de Alcaldía Nº 012-2011-MPSP/A de fecha 12 de enero de 2011, emitida por la Municipalidad Provincial de San Pablo, en adelante, la Entidad, mediante el cual declaró la Nulidad de Oficio del Proceso de Adjudicación de Menor Cuantía Nº 022-2010-MPSP/CEP, derivada de la Adjudicación Directa Selectiva Nº 010-2010-MPSP/CEP, convocado para la ejecución de la Obra:  “Construcción Pavimento JR. Trujillo, tramo el Jr. Cajamarca y Av. Julian Cruzado-Ciudad de San Pablo, Distrito de San Pablo, Provincia de San Pablo-Cajamarca I Etapa”. </w:t>
      </w:r>
    </w:p>
    <w:p w:rsidR="00486D4B" w:rsidRPr="00320965" w:rsidRDefault="00486D4B" w:rsidP="00486D4B">
      <w:pPr>
        <w:pStyle w:val="Prrafodelista"/>
        <w:ind w:left="567"/>
        <w:contextualSpacing/>
        <w:jc w:val="both"/>
        <w:rPr>
          <w:rFonts w:ascii="Tahoma" w:hAnsi="Tahoma" w:cs="Tahoma"/>
          <w:sz w:val="22"/>
          <w:szCs w:val="22"/>
        </w:rPr>
      </w:pPr>
    </w:p>
    <w:p w:rsidR="00486D4B" w:rsidRPr="00320965" w:rsidRDefault="00486D4B" w:rsidP="00486D4B">
      <w:pPr>
        <w:pStyle w:val="Prrafodelista"/>
        <w:widowControl/>
        <w:numPr>
          <w:ilvl w:val="0"/>
          <w:numId w:val="8"/>
        </w:numPr>
        <w:suppressAutoHyphens w:val="0"/>
        <w:ind w:left="567" w:hanging="567"/>
        <w:contextualSpacing/>
        <w:jc w:val="both"/>
        <w:rPr>
          <w:rFonts w:ascii="Tahoma" w:hAnsi="Tahoma" w:cs="Tahoma"/>
          <w:sz w:val="22"/>
          <w:szCs w:val="22"/>
        </w:rPr>
      </w:pPr>
      <w:r w:rsidRPr="00320965">
        <w:rPr>
          <w:rFonts w:ascii="Tahoma" w:hAnsi="Tahoma" w:cs="Tahoma"/>
          <w:sz w:val="22"/>
          <w:szCs w:val="22"/>
        </w:rPr>
        <w:t>Adjunto al Recurso de Apelación citado, el Impugnante remitió las Bases Integradas del Proceso, copia del Acta de Apertura de Sobres, Evaluación de Propuestas y Otorgamiento de la Buena Pro, copia de la Carta Notarial Nº 001-2011/C.B.SRL copia de la Resolución de Alcaldía Nº 012-2011-MPSP/A de fecha 12 de enero de 2011, Anexo 1 de las Bases- Declaración Jurada de Datos del Postor, Formato 3 de las Bases-Profesionales y Técnicos requeridos, equipos requeridos, Formato 4 de las Bases-Profesional Propuesto como Residente de Obra.</w:t>
      </w:r>
    </w:p>
    <w:p w:rsidR="00486D4B" w:rsidRPr="00320965" w:rsidRDefault="00486D4B" w:rsidP="00486D4B">
      <w:pPr>
        <w:pStyle w:val="Prrafodelista"/>
        <w:rPr>
          <w:rFonts w:ascii="Tahoma" w:hAnsi="Tahoma" w:cs="Tahoma"/>
          <w:sz w:val="22"/>
          <w:szCs w:val="22"/>
        </w:rPr>
      </w:pPr>
    </w:p>
    <w:p w:rsidR="00486D4B" w:rsidRPr="00320965" w:rsidRDefault="00486D4B" w:rsidP="00486D4B">
      <w:pPr>
        <w:pStyle w:val="Prrafodelista"/>
        <w:widowControl/>
        <w:numPr>
          <w:ilvl w:val="0"/>
          <w:numId w:val="8"/>
        </w:numPr>
        <w:suppressAutoHyphens w:val="0"/>
        <w:ind w:left="567" w:hanging="567"/>
        <w:contextualSpacing/>
        <w:jc w:val="both"/>
        <w:rPr>
          <w:rFonts w:ascii="Tahoma" w:hAnsi="Tahoma" w:cs="Tahoma"/>
          <w:sz w:val="22"/>
          <w:szCs w:val="22"/>
        </w:rPr>
      </w:pPr>
      <w:r w:rsidRPr="00320965">
        <w:rPr>
          <w:rFonts w:ascii="Tahoma" w:hAnsi="Tahoma" w:cs="Tahoma"/>
          <w:sz w:val="22"/>
          <w:szCs w:val="22"/>
        </w:rPr>
        <w:lastRenderedPageBreak/>
        <w:t xml:space="preserve">El 10 de febrero de 2011, el </w:t>
      </w:r>
      <w:r w:rsidR="00CC64EB" w:rsidRPr="00320965">
        <w:rPr>
          <w:rFonts w:ascii="Tahoma" w:hAnsi="Tahoma" w:cs="Tahoma"/>
          <w:sz w:val="22"/>
          <w:szCs w:val="22"/>
        </w:rPr>
        <w:t>Impugnante</w:t>
      </w:r>
      <w:r w:rsidRPr="00320965">
        <w:rPr>
          <w:rFonts w:ascii="Tahoma" w:hAnsi="Tahoma" w:cs="Tahoma"/>
          <w:sz w:val="22"/>
          <w:szCs w:val="22"/>
        </w:rPr>
        <w:t xml:space="preserve"> subsanó su comunicación indicando su domicilio procesal en la ciudad de Lima y cumpliendo con el pago de la garantía por la interposición del Recurso de Apelación.</w:t>
      </w:r>
    </w:p>
    <w:p w:rsidR="00486D4B" w:rsidRPr="00320965" w:rsidRDefault="00486D4B" w:rsidP="00486D4B">
      <w:pPr>
        <w:pStyle w:val="Prrafodelista"/>
        <w:ind w:left="567"/>
        <w:contextualSpacing/>
        <w:jc w:val="both"/>
        <w:rPr>
          <w:rFonts w:ascii="Tahoma" w:hAnsi="Tahoma" w:cs="Tahoma"/>
          <w:sz w:val="22"/>
          <w:szCs w:val="22"/>
        </w:rPr>
      </w:pPr>
    </w:p>
    <w:p w:rsidR="00486D4B" w:rsidRPr="00320965" w:rsidRDefault="00486D4B" w:rsidP="00486D4B">
      <w:pPr>
        <w:pStyle w:val="Prrafodelista"/>
        <w:widowControl/>
        <w:numPr>
          <w:ilvl w:val="0"/>
          <w:numId w:val="8"/>
        </w:numPr>
        <w:suppressAutoHyphens w:val="0"/>
        <w:ind w:left="567" w:hanging="567"/>
        <w:contextualSpacing/>
        <w:jc w:val="both"/>
        <w:rPr>
          <w:rFonts w:ascii="Tahoma" w:hAnsi="Tahoma" w:cs="Tahoma"/>
          <w:sz w:val="22"/>
          <w:szCs w:val="22"/>
        </w:rPr>
      </w:pPr>
      <w:r w:rsidRPr="00320965">
        <w:rPr>
          <w:rFonts w:ascii="Tahoma" w:hAnsi="Tahoma" w:cs="Tahoma"/>
          <w:sz w:val="22"/>
          <w:szCs w:val="22"/>
        </w:rPr>
        <w:t xml:space="preserve">Mediante decreto de fecha 16 de febrero de 2011, la Secretaría del Tribunal admitió a trámite el recurso de apelación respecto del proceso de Adjudicación de Menor Cuantía Nº 022-2010-MPSP/CEP, derivada de la Adjudicación Directa Selectiva Nº 010-2010-MPSP/CEP, y ordenó se suspenda el proceso de selección impugnado. Asimismo, corrió traslado a la Entidad, a fin que en el plazo de tres (03) días presente los antecedentes administrativos completos, ordenados cronológicamente, foliados y con su respectivo índice, bajo apercibimiento de resolver con la documentación obrante en autos. </w:t>
      </w:r>
    </w:p>
    <w:p w:rsidR="00486D4B" w:rsidRPr="00320965" w:rsidRDefault="00486D4B" w:rsidP="00486D4B">
      <w:pPr>
        <w:pStyle w:val="Prrafodelista"/>
        <w:rPr>
          <w:rFonts w:ascii="Tahoma" w:hAnsi="Tahoma" w:cs="Tahoma"/>
          <w:sz w:val="22"/>
          <w:szCs w:val="22"/>
        </w:rPr>
      </w:pPr>
    </w:p>
    <w:p w:rsidR="00486D4B" w:rsidRPr="00320965" w:rsidRDefault="00486D4B" w:rsidP="00486D4B">
      <w:pPr>
        <w:pStyle w:val="Prrafodelista"/>
        <w:widowControl/>
        <w:numPr>
          <w:ilvl w:val="0"/>
          <w:numId w:val="8"/>
        </w:numPr>
        <w:suppressAutoHyphens w:val="0"/>
        <w:ind w:left="567" w:hanging="567"/>
        <w:contextualSpacing/>
        <w:jc w:val="both"/>
        <w:rPr>
          <w:rFonts w:ascii="Tahoma" w:hAnsi="Tahoma" w:cs="Tahoma"/>
          <w:sz w:val="22"/>
          <w:szCs w:val="22"/>
        </w:rPr>
      </w:pPr>
      <w:r w:rsidRPr="00320965">
        <w:rPr>
          <w:rFonts w:ascii="Tahoma" w:hAnsi="Tahoma" w:cs="Tahoma"/>
          <w:sz w:val="22"/>
          <w:szCs w:val="22"/>
        </w:rPr>
        <w:t>Mediante decreto de fecha 17 de marzo de 2011, y en vista que el 02.03.2011 venció el plazo para que la Entidad remita la información solicitada por la Secretaría del Tribunal mediante Cédula de Notificación Nº 4774/2011.TC, y no habiendo cumplido la Entidad con ello, se reiteró a la Entidad para que dentro del plazo de tres (3) días, cumpla con remitir los antecedentes administrativos solicitados, bajo responsabilidad y apercibimiento de resolverse con la documentación obrante en autos. Asimismo, se comunicó al Órgano de Control Institucional de la Entidad dicha reiteración para los fines de ley.</w:t>
      </w:r>
    </w:p>
    <w:p w:rsidR="00486D4B" w:rsidRPr="00320965" w:rsidRDefault="00486D4B" w:rsidP="00486D4B">
      <w:pPr>
        <w:pStyle w:val="Prrafodelista"/>
        <w:rPr>
          <w:rFonts w:ascii="Tahoma" w:hAnsi="Tahoma" w:cs="Tahoma"/>
          <w:sz w:val="22"/>
          <w:szCs w:val="22"/>
        </w:rPr>
      </w:pPr>
    </w:p>
    <w:p w:rsidR="00486D4B" w:rsidRPr="00320965" w:rsidRDefault="00486D4B" w:rsidP="00486D4B">
      <w:pPr>
        <w:pStyle w:val="Prrafodelista"/>
        <w:widowControl/>
        <w:numPr>
          <w:ilvl w:val="0"/>
          <w:numId w:val="8"/>
        </w:numPr>
        <w:suppressAutoHyphens w:val="0"/>
        <w:ind w:left="567" w:hanging="567"/>
        <w:contextualSpacing/>
        <w:jc w:val="both"/>
        <w:rPr>
          <w:rFonts w:ascii="Tahoma" w:hAnsi="Tahoma" w:cs="Tahoma"/>
          <w:sz w:val="22"/>
          <w:szCs w:val="22"/>
        </w:rPr>
      </w:pPr>
      <w:r w:rsidRPr="00320965">
        <w:rPr>
          <w:rFonts w:ascii="Tahoma" w:hAnsi="Tahoma" w:cs="Tahoma"/>
          <w:sz w:val="22"/>
          <w:szCs w:val="22"/>
        </w:rPr>
        <w:t>Mediante decreto de fecha 24 de marzo de 2011, y en vista que el 23.03.2011 venció el plazo para que la Entidad remita la información solicitada por la Secretaría del Tribunal mediante Cédula de Notificación Nº 4774/2011.TC y decreto de fecha 17 de marzo de 2011, notificado a través de la pagina del SEACE el 18.03.2011, y no habiendo cumplido la Entidad con remitir lo solicitado, la Secretaría del Tribunal hizo efectivo el apercibimiento decretado de resolver con la documentación obrante en autos y se remitió el expediente a la Primera Sala del Tribunal a fin que evalué dicha información.</w:t>
      </w:r>
    </w:p>
    <w:p w:rsidR="00486D4B" w:rsidRPr="00320965" w:rsidRDefault="00486D4B" w:rsidP="00486D4B">
      <w:pPr>
        <w:pStyle w:val="Prrafodelista"/>
        <w:rPr>
          <w:rFonts w:ascii="Tahoma" w:hAnsi="Tahoma" w:cs="Tahoma"/>
          <w:sz w:val="22"/>
          <w:szCs w:val="22"/>
        </w:rPr>
      </w:pPr>
    </w:p>
    <w:p w:rsidR="00486D4B" w:rsidRPr="00320965" w:rsidRDefault="00486D4B" w:rsidP="00486D4B">
      <w:pPr>
        <w:pStyle w:val="Prrafodelista"/>
        <w:widowControl/>
        <w:numPr>
          <w:ilvl w:val="0"/>
          <w:numId w:val="8"/>
        </w:numPr>
        <w:suppressAutoHyphens w:val="0"/>
        <w:ind w:left="567" w:hanging="567"/>
        <w:contextualSpacing/>
        <w:jc w:val="both"/>
        <w:rPr>
          <w:rFonts w:ascii="Tahoma" w:hAnsi="Tahoma" w:cs="Tahoma"/>
          <w:sz w:val="22"/>
          <w:szCs w:val="22"/>
        </w:rPr>
      </w:pPr>
      <w:r w:rsidRPr="00320965">
        <w:rPr>
          <w:rFonts w:ascii="Tahoma" w:hAnsi="Tahoma" w:cs="Tahoma"/>
          <w:sz w:val="22"/>
          <w:szCs w:val="22"/>
        </w:rPr>
        <w:t>Mediante el Recurso de Apelación interpuesto, el Apelante manifiesta lo siguiente:</w:t>
      </w:r>
    </w:p>
    <w:p w:rsidR="00486D4B" w:rsidRPr="00320965" w:rsidRDefault="00486D4B" w:rsidP="00486D4B">
      <w:pPr>
        <w:pStyle w:val="Prrafodelista"/>
        <w:rPr>
          <w:rFonts w:ascii="Tahoma" w:hAnsi="Tahoma" w:cs="Tahoma"/>
          <w:sz w:val="22"/>
          <w:szCs w:val="22"/>
        </w:rPr>
      </w:pPr>
    </w:p>
    <w:p w:rsidR="00486D4B" w:rsidRPr="00320965" w:rsidRDefault="00486D4B" w:rsidP="00486D4B">
      <w:pPr>
        <w:pStyle w:val="Prrafodelista"/>
        <w:widowControl/>
        <w:numPr>
          <w:ilvl w:val="0"/>
          <w:numId w:val="9"/>
        </w:numPr>
        <w:suppressAutoHyphens w:val="0"/>
        <w:contextualSpacing/>
        <w:jc w:val="both"/>
        <w:rPr>
          <w:rFonts w:ascii="Tahoma" w:hAnsi="Tahoma" w:cs="Tahoma"/>
          <w:sz w:val="22"/>
          <w:szCs w:val="22"/>
        </w:rPr>
      </w:pPr>
      <w:r w:rsidRPr="00320965">
        <w:rPr>
          <w:rFonts w:ascii="Tahoma" w:hAnsi="Tahoma" w:cs="Tahoma"/>
          <w:sz w:val="22"/>
          <w:szCs w:val="22"/>
        </w:rPr>
        <w:t xml:space="preserve">El 09 de diciembre de 2010, la Entidad convocó a través del SEACE la Adjudicación de Menor Cuantía Nº 022-2010-MPSP/CEP, a fin de ejecutar la Obra: “Construcción Pavimento JR. Trujillo, tramo el Jr. Cajamarca y Av. Julián Cruzado-Ciudad de San Pablo, Distrito de San Pablo, Provincia de San Pablo-Cajamarca I Etapa”. </w:t>
      </w:r>
    </w:p>
    <w:p w:rsidR="00486D4B" w:rsidRPr="00320965" w:rsidRDefault="00486D4B" w:rsidP="00486D4B">
      <w:pPr>
        <w:pStyle w:val="Prrafodelista"/>
        <w:ind w:left="927"/>
        <w:contextualSpacing/>
        <w:jc w:val="both"/>
        <w:rPr>
          <w:rFonts w:ascii="Tahoma" w:hAnsi="Tahoma" w:cs="Tahoma"/>
          <w:sz w:val="22"/>
          <w:szCs w:val="22"/>
        </w:rPr>
      </w:pPr>
    </w:p>
    <w:p w:rsidR="00486D4B" w:rsidRPr="00320965" w:rsidRDefault="00486D4B" w:rsidP="00486D4B">
      <w:pPr>
        <w:pStyle w:val="Prrafodelista"/>
        <w:widowControl/>
        <w:numPr>
          <w:ilvl w:val="0"/>
          <w:numId w:val="9"/>
        </w:numPr>
        <w:suppressAutoHyphens w:val="0"/>
        <w:contextualSpacing/>
        <w:jc w:val="both"/>
        <w:rPr>
          <w:rFonts w:ascii="Tahoma" w:hAnsi="Tahoma" w:cs="Tahoma"/>
          <w:sz w:val="22"/>
          <w:szCs w:val="22"/>
        </w:rPr>
      </w:pPr>
      <w:r w:rsidRPr="00320965">
        <w:rPr>
          <w:rFonts w:ascii="Tahoma" w:hAnsi="Tahoma" w:cs="Tahoma"/>
          <w:sz w:val="22"/>
          <w:szCs w:val="22"/>
        </w:rPr>
        <w:t>El 21 de diciembre de 2010 se llevó a cabo la Apertura de Sobres, Evaluación de Propuestas y Otorgamiento de Buena Pro a su representada por el monto de S/. 217 650.00 Nuevos Soles, es decir, el 94,999% del valor referencial.</w:t>
      </w:r>
    </w:p>
    <w:p w:rsidR="00486D4B" w:rsidRPr="00320965" w:rsidRDefault="00486D4B" w:rsidP="00486D4B">
      <w:pPr>
        <w:contextualSpacing/>
        <w:jc w:val="both"/>
        <w:rPr>
          <w:rFonts w:ascii="Tahoma" w:hAnsi="Tahoma" w:cs="Tahoma"/>
          <w:sz w:val="22"/>
          <w:szCs w:val="22"/>
        </w:rPr>
      </w:pPr>
    </w:p>
    <w:p w:rsidR="00486D4B" w:rsidRPr="00320965" w:rsidRDefault="00486D4B" w:rsidP="00486D4B">
      <w:pPr>
        <w:pStyle w:val="Prrafodelista"/>
        <w:widowControl/>
        <w:numPr>
          <w:ilvl w:val="0"/>
          <w:numId w:val="9"/>
        </w:numPr>
        <w:suppressAutoHyphens w:val="0"/>
        <w:contextualSpacing/>
        <w:jc w:val="both"/>
        <w:rPr>
          <w:rFonts w:ascii="Tahoma" w:hAnsi="Tahoma" w:cs="Tahoma"/>
          <w:sz w:val="22"/>
          <w:szCs w:val="22"/>
        </w:rPr>
      </w:pPr>
      <w:r w:rsidRPr="00320965">
        <w:rPr>
          <w:rFonts w:ascii="Tahoma" w:hAnsi="Tahoma" w:cs="Tahoma"/>
          <w:sz w:val="22"/>
          <w:szCs w:val="22"/>
        </w:rPr>
        <w:lastRenderedPageBreak/>
        <w:t>El 27 de enero de 2011, con Carta Notarial Nº 001-2011/C.B.SRL, su representada solicita a la Entidad se proceda con la suscripción del Contrato, al haber quedado consentida la Buena Pro, teniendo en cuenta que de la revisión del SEACE se advirtió que no se había registrado la interposición de recurso de apelación alguno.</w:t>
      </w:r>
    </w:p>
    <w:p w:rsidR="00486D4B" w:rsidRPr="00320965" w:rsidRDefault="00486D4B" w:rsidP="00486D4B">
      <w:pPr>
        <w:contextualSpacing/>
        <w:jc w:val="both"/>
        <w:rPr>
          <w:rFonts w:ascii="Tahoma" w:hAnsi="Tahoma" w:cs="Tahoma"/>
          <w:sz w:val="22"/>
          <w:szCs w:val="22"/>
        </w:rPr>
      </w:pPr>
    </w:p>
    <w:p w:rsidR="00486D4B" w:rsidRPr="00320965" w:rsidRDefault="00486D4B" w:rsidP="00486D4B">
      <w:pPr>
        <w:pStyle w:val="Prrafodelista"/>
        <w:widowControl/>
        <w:numPr>
          <w:ilvl w:val="0"/>
          <w:numId w:val="9"/>
        </w:numPr>
        <w:suppressAutoHyphens w:val="0"/>
        <w:contextualSpacing/>
        <w:jc w:val="both"/>
        <w:rPr>
          <w:rFonts w:ascii="Tahoma" w:hAnsi="Tahoma" w:cs="Tahoma"/>
          <w:sz w:val="22"/>
          <w:szCs w:val="22"/>
        </w:rPr>
      </w:pPr>
      <w:r w:rsidRPr="00320965">
        <w:rPr>
          <w:rFonts w:ascii="Tahoma" w:hAnsi="Tahoma" w:cs="Tahoma"/>
          <w:sz w:val="22"/>
          <w:szCs w:val="22"/>
        </w:rPr>
        <w:t>Sin embargo, el 12 de enero de 2011, la Entidad había emitido la Resolución de Alcaldía Nº 012-2011-MPSP/A, que declaró la nulidad del proceso de Adjudicación de Menor Cuantía Nº 022-2010-MPSP/CEP, retrotrayéndose a la etapa de convocatoria, por los motivos expuestos en su parte considerativa, resultando irrelevante pronunciarse sobre el petitorio del recurso impugnativo de apelación interpuesto por el Sr. Aníbal Silva Gallardo, representante legal de la empresa S&amp;G Servicios Generales EIRL, contra el acto de calificación y otorgamiento de la Buena Pro del referido proceso de selección.</w:t>
      </w:r>
    </w:p>
    <w:p w:rsidR="00486D4B" w:rsidRPr="00320965" w:rsidRDefault="00486D4B" w:rsidP="00486D4B">
      <w:pPr>
        <w:contextualSpacing/>
        <w:jc w:val="both"/>
        <w:rPr>
          <w:rFonts w:ascii="Tahoma" w:hAnsi="Tahoma" w:cs="Tahoma"/>
          <w:sz w:val="22"/>
          <w:szCs w:val="22"/>
        </w:rPr>
      </w:pPr>
    </w:p>
    <w:p w:rsidR="00486D4B" w:rsidRPr="00320965" w:rsidRDefault="00486D4B" w:rsidP="00486D4B">
      <w:pPr>
        <w:pStyle w:val="Prrafodelista"/>
        <w:widowControl/>
        <w:numPr>
          <w:ilvl w:val="0"/>
          <w:numId w:val="9"/>
        </w:numPr>
        <w:suppressAutoHyphens w:val="0"/>
        <w:contextualSpacing/>
        <w:jc w:val="both"/>
        <w:rPr>
          <w:rFonts w:ascii="Tahoma" w:hAnsi="Tahoma" w:cs="Tahoma"/>
          <w:sz w:val="22"/>
          <w:szCs w:val="22"/>
        </w:rPr>
      </w:pPr>
      <w:r w:rsidRPr="00320965">
        <w:rPr>
          <w:rFonts w:ascii="Tahoma" w:hAnsi="Tahoma" w:cs="Tahoma"/>
          <w:sz w:val="22"/>
          <w:szCs w:val="22"/>
        </w:rPr>
        <w:t xml:space="preserve">La mencionada Resolución de Alcaldía Nº 012-2011-MPSP/A, tiene como primer fundamento que el valor referencial mínimo que fue de S/. 206 195.92, fue mal establecido, ya que lo correcto debía ser S/. 206 195.93. Y que dicha consignación errónea contraviene la normativa de Contrataciones. </w:t>
      </w:r>
    </w:p>
    <w:p w:rsidR="00486D4B" w:rsidRPr="00320965" w:rsidRDefault="00486D4B" w:rsidP="00486D4B">
      <w:pPr>
        <w:pStyle w:val="Prrafodelista"/>
        <w:rPr>
          <w:rFonts w:ascii="Tahoma" w:hAnsi="Tahoma" w:cs="Tahoma"/>
          <w:sz w:val="22"/>
          <w:szCs w:val="22"/>
        </w:rPr>
      </w:pPr>
    </w:p>
    <w:p w:rsidR="00486D4B" w:rsidRPr="00320965" w:rsidRDefault="00486D4B" w:rsidP="00486D4B">
      <w:pPr>
        <w:pStyle w:val="Prrafodelista"/>
        <w:ind w:left="927"/>
        <w:contextualSpacing/>
        <w:jc w:val="both"/>
        <w:rPr>
          <w:rFonts w:ascii="Tahoma" w:hAnsi="Tahoma" w:cs="Tahoma"/>
          <w:sz w:val="22"/>
          <w:szCs w:val="22"/>
        </w:rPr>
      </w:pPr>
      <w:r w:rsidRPr="00320965">
        <w:rPr>
          <w:rFonts w:ascii="Tahoma" w:hAnsi="Tahoma" w:cs="Tahoma"/>
          <w:sz w:val="22"/>
          <w:szCs w:val="22"/>
        </w:rPr>
        <w:t>Al respecto, el Apelante manifiesta que  si bien es cierto existió un error en la determinación del valor referencial en S/ 0.01, dicho error no ocasiona ningún perjuicio a la Entidad, ya que las dos propuestas económicas admitidas (S&amp;G Servicios Generales SRL y Corporación Brillantina SRL)  fueron mayores al valor mínimo de S/. 206 195.93. La propuesta de S&amp;G Servicios Generales SRL fue de S/. 224.524.46 y el de su representada fue de S/. 217 650.00. Es decir, ambas propuestas se encuentran dentro del rango comprendido entre S/ 206 195.93 y S/. 525 017.23, valores mínimo y máximo para la presentación de las ofertas económicas, según el artículo 39 del Decreto Supremo Nº 184-2008-EF. Por lo tanto, manifiesta que no existió ninguna transgresión a las normas de Contrataciones.</w:t>
      </w:r>
    </w:p>
    <w:p w:rsidR="00486D4B" w:rsidRPr="00320965" w:rsidRDefault="00486D4B" w:rsidP="00486D4B">
      <w:pPr>
        <w:contextualSpacing/>
        <w:jc w:val="both"/>
        <w:rPr>
          <w:rFonts w:ascii="Tahoma" w:hAnsi="Tahoma" w:cs="Tahoma"/>
          <w:sz w:val="22"/>
          <w:szCs w:val="22"/>
        </w:rPr>
      </w:pPr>
    </w:p>
    <w:p w:rsidR="00486D4B" w:rsidRPr="00320965" w:rsidRDefault="00486D4B" w:rsidP="00486D4B">
      <w:pPr>
        <w:pStyle w:val="Prrafodelista"/>
        <w:widowControl/>
        <w:numPr>
          <w:ilvl w:val="0"/>
          <w:numId w:val="9"/>
        </w:numPr>
        <w:suppressAutoHyphens w:val="0"/>
        <w:contextualSpacing/>
        <w:jc w:val="both"/>
        <w:rPr>
          <w:rFonts w:ascii="Tahoma" w:hAnsi="Tahoma" w:cs="Tahoma"/>
          <w:sz w:val="22"/>
          <w:szCs w:val="22"/>
        </w:rPr>
      </w:pPr>
      <w:r w:rsidRPr="00320965">
        <w:rPr>
          <w:rFonts w:ascii="Tahoma" w:hAnsi="Tahoma" w:cs="Tahoma"/>
          <w:sz w:val="22"/>
          <w:szCs w:val="22"/>
        </w:rPr>
        <w:t xml:space="preserve">El segundo fundamento de la Resolución de Alcaldía Nº 012-2011-MPSP/A fue respecto a la existencia de incompatibilidad entre el cronograma del proceso de selección registrado en el SEACE y el aprobado en las Bases Integradas. </w:t>
      </w:r>
    </w:p>
    <w:p w:rsidR="00486D4B" w:rsidRPr="00320965" w:rsidRDefault="00486D4B" w:rsidP="00486D4B">
      <w:pPr>
        <w:pStyle w:val="Prrafodelista"/>
        <w:rPr>
          <w:rFonts w:ascii="Tahoma" w:hAnsi="Tahoma" w:cs="Tahoma"/>
          <w:sz w:val="22"/>
          <w:szCs w:val="22"/>
        </w:rPr>
      </w:pPr>
    </w:p>
    <w:p w:rsidR="00486D4B" w:rsidRPr="00320965" w:rsidRDefault="00486D4B" w:rsidP="00486D4B">
      <w:pPr>
        <w:pStyle w:val="Prrafodelista"/>
        <w:ind w:left="927"/>
        <w:contextualSpacing/>
        <w:jc w:val="both"/>
        <w:rPr>
          <w:rFonts w:ascii="Tahoma" w:hAnsi="Tahoma" w:cs="Tahoma"/>
          <w:sz w:val="22"/>
          <w:szCs w:val="22"/>
        </w:rPr>
      </w:pPr>
      <w:r w:rsidRPr="00320965">
        <w:rPr>
          <w:rFonts w:ascii="Tahoma" w:hAnsi="Tahoma" w:cs="Tahoma"/>
          <w:sz w:val="22"/>
          <w:szCs w:val="22"/>
        </w:rPr>
        <w:t>Sobre el particular, el Impugnante señala que si bien es cierto existen discrepancias respecto a ello, se debe tener en cuenta q esto no afectó la legalidad del proceso de selección, ya que en dicho proceso se registraron cuatro proveedores, de los cuales tres de ellos presentaron sus propuestas, lo cual prueba que las diferentes etapas del proceso de selección se llevaron a cabo conforme a lo señalado en el calendario publicado en el SEACE.</w:t>
      </w:r>
    </w:p>
    <w:p w:rsidR="00486D4B" w:rsidRPr="00320965" w:rsidRDefault="00486D4B" w:rsidP="00486D4B">
      <w:pPr>
        <w:contextualSpacing/>
        <w:jc w:val="both"/>
        <w:rPr>
          <w:rFonts w:ascii="Tahoma" w:hAnsi="Tahoma" w:cs="Tahoma"/>
          <w:sz w:val="22"/>
          <w:szCs w:val="22"/>
        </w:rPr>
      </w:pPr>
    </w:p>
    <w:p w:rsidR="00486D4B" w:rsidRPr="00320965" w:rsidRDefault="00486D4B" w:rsidP="00486D4B">
      <w:pPr>
        <w:pStyle w:val="Prrafodelista"/>
        <w:widowControl/>
        <w:numPr>
          <w:ilvl w:val="0"/>
          <w:numId w:val="9"/>
        </w:numPr>
        <w:suppressAutoHyphens w:val="0"/>
        <w:contextualSpacing/>
        <w:jc w:val="both"/>
        <w:rPr>
          <w:rFonts w:ascii="Tahoma" w:hAnsi="Tahoma" w:cs="Tahoma"/>
          <w:sz w:val="22"/>
          <w:szCs w:val="22"/>
        </w:rPr>
      </w:pPr>
      <w:r w:rsidRPr="00320965">
        <w:rPr>
          <w:rFonts w:ascii="Tahoma" w:hAnsi="Tahoma" w:cs="Tahoma"/>
          <w:sz w:val="22"/>
          <w:szCs w:val="22"/>
        </w:rPr>
        <w:lastRenderedPageBreak/>
        <w:t xml:space="preserve">El tercer fundamento de la Resolución de Alcaldía Nº 012-2011-MPSP/A consistió en que los requerimientos técnicos mínimos solicitados en las Bases Integradas no establecían ¿Qué? ¿Cómo? y ¿Cuántos? debían ser los documentos que debían presentar los postores para acreditar el cumplimiento de los requerimientos técnicos mínimos; por lo tanto no permitían una evaluación objetiva respecto del Ingeniero Residente de Obra y del equipo necesario para la ejecución de la obra. </w:t>
      </w:r>
    </w:p>
    <w:p w:rsidR="00486D4B" w:rsidRPr="00320965" w:rsidRDefault="00486D4B" w:rsidP="00486D4B">
      <w:pPr>
        <w:pStyle w:val="Prrafodelista"/>
        <w:rPr>
          <w:rFonts w:ascii="Tahoma" w:hAnsi="Tahoma" w:cs="Tahoma"/>
          <w:sz w:val="22"/>
          <w:szCs w:val="22"/>
        </w:rPr>
      </w:pPr>
    </w:p>
    <w:p w:rsidR="00486D4B" w:rsidRPr="00320965" w:rsidRDefault="00486D4B" w:rsidP="00486D4B">
      <w:pPr>
        <w:pStyle w:val="Prrafodelista"/>
        <w:ind w:left="927"/>
        <w:contextualSpacing/>
        <w:jc w:val="both"/>
        <w:rPr>
          <w:rFonts w:ascii="Tahoma" w:hAnsi="Tahoma" w:cs="Tahoma"/>
          <w:sz w:val="22"/>
          <w:szCs w:val="22"/>
        </w:rPr>
      </w:pPr>
      <w:r w:rsidRPr="00320965">
        <w:rPr>
          <w:rFonts w:ascii="Tahoma" w:hAnsi="Tahoma" w:cs="Tahoma"/>
          <w:sz w:val="22"/>
          <w:szCs w:val="22"/>
        </w:rPr>
        <w:t>Al respecto, el Impugnante manifiesta que el literal a) del numeral 2) del Capítulo II de las Bases Integradas señala que el Residente debe ser Ingeniero Civil, Colegiado y Habilitado, con experiencia mínima de tres (03) años como residente o supervisor de Obra, acreditado mediante Contratos y actas de recepción o terminación de Obra. Asimismo, se estableció que dicha información será dada a conocer mediante Formato Nº 04, el cual fue presentado por su representada. En vista de ello, señala que las Bases han establecido de manera clara y precisa el requerimiento técnico mínimo y la acreditación respectiva para el Residente de Obra.</w:t>
      </w:r>
    </w:p>
    <w:p w:rsidR="00486D4B" w:rsidRPr="00320965" w:rsidRDefault="00486D4B" w:rsidP="00486D4B">
      <w:pPr>
        <w:pStyle w:val="Prrafodelista"/>
        <w:ind w:left="927"/>
        <w:contextualSpacing/>
        <w:jc w:val="both"/>
        <w:rPr>
          <w:rFonts w:ascii="Tahoma" w:hAnsi="Tahoma" w:cs="Tahoma"/>
          <w:sz w:val="22"/>
          <w:szCs w:val="22"/>
        </w:rPr>
      </w:pPr>
    </w:p>
    <w:p w:rsidR="00486D4B" w:rsidRPr="00320965" w:rsidRDefault="00486D4B" w:rsidP="00486D4B">
      <w:pPr>
        <w:pStyle w:val="Prrafodelista"/>
        <w:ind w:left="927"/>
        <w:contextualSpacing/>
        <w:jc w:val="both"/>
        <w:rPr>
          <w:rFonts w:ascii="Tahoma" w:hAnsi="Tahoma" w:cs="Tahoma"/>
          <w:sz w:val="22"/>
          <w:szCs w:val="22"/>
        </w:rPr>
      </w:pPr>
      <w:r w:rsidRPr="00320965">
        <w:rPr>
          <w:rFonts w:ascii="Tahoma" w:hAnsi="Tahoma" w:cs="Tahoma"/>
          <w:sz w:val="22"/>
          <w:szCs w:val="22"/>
        </w:rPr>
        <w:t>Así también manifestó que el numeral 4) del Capítulo III de las Bases Administrativas señala que el equipo deberá tener una antigüedad máxima de diez años, la cual deberá ser demostrada, y que dicha información será dada a conocer mediante Formato Nº 03, el cual fue presentado por su representada, adjuntando además compromisos de alquiler, tarjetas de propiedad, boletas, facturas, SOAT, y otros que acreditaron que el tiempo de antigüedad no es mayor a cinco años. En vista de ello, señala que las Bases han establecido de manera clara y precisa el requerimiento técnico mínimo y la acreditación respectiva para los equipos.</w:t>
      </w:r>
    </w:p>
    <w:p w:rsidR="00486D4B" w:rsidRPr="00320965" w:rsidRDefault="00486D4B" w:rsidP="00486D4B">
      <w:pPr>
        <w:pStyle w:val="Prrafodelista"/>
        <w:ind w:left="927"/>
        <w:contextualSpacing/>
        <w:jc w:val="both"/>
        <w:rPr>
          <w:rFonts w:ascii="Tahoma" w:hAnsi="Tahoma" w:cs="Tahoma"/>
          <w:sz w:val="22"/>
          <w:szCs w:val="22"/>
        </w:rPr>
      </w:pPr>
    </w:p>
    <w:p w:rsidR="00486D4B" w:rsidRPr="00320965" w:rsidRDefault="00486D4B" w:rsidP="00486D4B">
      <w:pPr>
        <w:pStyle w:val="Prrafodelista"/>
        <w:widowControl/>
        <w:numPr>
          <w:ilvl w:val="0"/>
          <w:numId w:val="9"/>
        </w:numPr>
        <w:suppressAutoHyphens w:val="0"/>
        <w:contextualSpacing/>
        <w:jc w:val="both"/>
        <w:rPr>
          <w:rFonts w:ascii="Tahoma" w:hAnsi="Tahoma" w:cs="Tahoma"/>
          <w:sz w:val="22"/>
          <w:szCs w:val="22"/>
        </w:rPr>
      </w:pPr>
      <w:r w:rsidRPr="00320965">
        <w:rPr>
          <w:rFonts w:ascii="Tahoma" w:hAnsi="Tahoma" w:cs="Tahoma"/>
          <w:sz w:val="22"/>
          <w:szCs w:val="22"/>
        </w:rPr>
        <w:t>El Impugnante también manifestó que el 27 de diciembre de 2010, el Sr. Aníbal Silva Gallardo, representante legal de la empresa S&amp;G Servicios Generales EIRL interpuso un recurso de apelación contra el acto de calificación y otorgamiento de la Buena Pro del proceso de Adjudicación de Menor Cuantía Nº 022-2010-MPSP/CEP; sin embargo, que la Entidad no observó el procedimiento establecido en la normativa de Contrataciones a fin de resolver dicho recurso impugnativo, lo que genera la vulneración de las normas legales y la total inobservancia de parte de la Entidad.</w:t>
      </w:r>
    </w:p>
    <w:p w:rsidR="00486D4B" w:rsidRPr="00320965" w:rsidRDefault="00486D4B" w:rsidP="00486D4B">
      <w:pPr>
        <w:pStyle w:val="Prrafodelista"/>
        <w:ind w:left="927"/>
        <w:contextualSpacing/>
        <w:jc w:val="both"/>
        <w:rPr>
          <w:rFonts w:ascii="Tahoma" w:hAnsi="Tahoma" w:cs="Tahoma"/>
          <w:sz w:val="22"/>
          <w:szCs w:val="22"/>
        </w:rPr>
      </w:pPr>
      <w:r w:rsidRPr="00320965">
        <w:rPr>
          <w:rFonts w:ascii="Tahoma" w:hAnsi="Tahoma" w:cs="Tahoma"/>
          <w:sz w:val="22"/>
          <w:szCs w:val="22"/>
        </w:rPr>
        <w:t xml:space="preserve">Al respecto, señala que al tratarse de un proceso de menor cuantía, el consentimiento de la Buena Pro se produjo a los cinco (5) días hábiles de la notificación de su otorgamiento a través del SEACE, es decir el 30 de diciembre de 2010, procedimiento que debió realizarse de forma obligatoria. Asimismo, señala que la Entidad no corrió traslado de la apelación interpuesta a los postores que pudiesen resultar afectados con la resolución de dicho recurso dentro del plazo de dos (2) días. Así tampoco la Entidad cumplió con el plazo de doce días a fin de resolver el recurso, teniendo en cuenta que hasta la fecha de presentación de su comunicación no existe </w:t>
      </w:r>
      <w:r w:rsidRPr="00320965">
        <w:rPr>
          <w:rFonts w:ascii="Tahoma" w:hAnsi="Tahoma" w:cs="Tahoma"/>
          <w:sz w:val="22"/>
          <w:szCs w:val="22"/>
        </w:rPr>
        <w:lastRenderedPageBreak/>
        <w:t>ninguna publicación en el SEACE sobre el particular.</w:t>
      </w:r>
    </w:p>
    <w:p w:rsidR="00486D4B" w:rsidRPr="00320965" w:rsidRDefault="00486D4B" w:rsidP="00486D4B">
      <w:pPr>
        <w:pStyle w:val="Prrafodelista"/>
        <w:ind w:left="927"/>
        <w:contextualSpacing/>
        <w:jc w:val="both"/>
        <w:rPr>
          <w:rFonts w:ascii="Tahoma" w:hAnsi="Tahoma" w:cs="Tahoma"/>
          <w:sz w:val="22"/>
          <w:szCs w:val="22"/>
        </w:rPr>
      </w:pPr>
    </w:p>
    <w:p w:rsidR="00486D4B" w:rsidRDefault="00486D4B" w:rsidP="00C10F49">
      <w:pPr>
        <w:pStyle w:val="Prrafodelista"/>
        <w:widowControl/>
        <w:numPr>
          <w:ilvl w:val="0"/>
          <w:numId w:val="9"/>
        </w:numPr>
        <w:suppressAutoHyphens w:val="0"/>
        <w:contextualSpacing/>
        <w:jc w:val="both"/>
        <w:rPr>
          <w:rFonts w:ascii="Tahoma" w:hAnsi="Tahoma" w:cs="Tahoma"/>
          <w:sz w:val="22"/>
          <w:szCs w:val="22"/>
        </w:rPr>
      </w:pPr>
      <w:r w:rsidRPr="00320965">
        <w:rPr>
          <w:rFonts w:ascii="Tahoma" w:hAnsi="Tahoma" w:cs="Tahoma"/>
          <w:sz w:val="22"/>
          <w:szCs w:val="22"/>
        </w:rPr>
        <w:t>En vista de ello, refiere que el procedimiento para el otorgamiento de la Buena Pro a su representada ha observado las normas legales y reglamentarias, por lo tanto correspondía convocarlo para la suscripción del contrato.</w:t>
      </w:r>
    </w:p>
    <w:p w:rsidR="00C10F49" w:rsidRPr="00C10F49" w:rsidRDefault="00C10F49" w:rsidP="00C10F49">
      <w:pPr>
        <w:pStyle w:val="Prrafodelista"/>
        <w:widowControl/>
        <w:suppressAutoHyphens w:val="0"/>
        <w:ind w:left="927"/>
        <w:contextualSpacing/>
        <w:jc w:val="both"/>
        <w:rPr>
          <w:rFonts w:ascii="Tahoma" w:hAnsi="Tahoma" w:cs="Tahoma"/>
          <w:sz w:val="22"/>
          <w:szCs w:val="22"/>
        </w:rPr>
      </w:pPr>
    </w:p>
    <w:p w:rsidR="00486D4B" w:rsidRPr="00320965" w:rsidRDefault="00486D4B" w:rsidP="00486D4B">
      <w:pPr>
        <w:pStyle w:val="Prrafodelista"/>
        <w:widowControl/>
        <w:numPr>
          <w:ilvl w:val="0"/>
          <w:numId w:val="8"/>
        </w:numPr>
        <w:tabs>
          <w:tab w:val="num" w:pos="567"/>
        </w:tabs>
        <w:suppressAutoHyphens w:val="0"/>
        <w:ind w:left="567" w:hanging="567"/>
        <w:jc w:val="both"/>
        <w:rPr>
          <w:rFonts w:ascii="Tahoma" w:hAnsi="Tahoma" w:cs="Tahoma"/>
          <w:sz w:val="22"/>
          <w:szCs w:val="22"/>
        </w:rPr>
      </w:pPr>
      <w:r w:rsidRPr="00320965">
        <w:rPr>
          <w:rFonts w:ascii="Tahoma" w:hAnsi="Tahoma" w:cs="Tahoma"/>
          <w:sz w:val="22"/>
          <w:szCs w:val="22"/>
        </w:rPr>
        <w:t>El 12 de abril de 2011, se llevó a cabo la Audiencia Pública, con la participación del representante del Impugnante.</w:t>
      </w:r>
    </w:p>
    <w:p w:rsidR="00486D4B" w:rsidRPr="00320965" w:rsidRDefault="00486D4B" w:rsidP="00486D4B">
      <w:pPr>
        <w:pStyle w:val="Prrafodelista"/>
        <w:ind w:left="567"/>
        <w:jc w:val="both"/>
        <w:rPr>
          <w:rFonts w:ascii="Tahoma" w:hAnsi="Tahoma" w:cs="Tahoma"/>
          <w:sz w:val="22"/>
          <w:szCs w:val="22"/>
        </w:rPr>
      </w:pPr>
    </w:p>
    <w:p w:rsidR="00486D4B" w:rsidRPr="00320965" w:rsidRDefault="00486D4B" w:rsidP="00486D4B">
      <w:pPr>
        <w:pStyle w:val="Prrafodelista"/>
        <w:widowControl/>
        <w:numPr>
          <w:ilvl w:val="0"/>
          <w:numId w:val="8"/>
        </w:numPr>
        <w:tabs>
          <w:tab w:val="num" w:pos="567"/>
        </w:tabs>
        <w:suppressAutoHyphens w:val="0"/>
        <w:ind w:left="567" w:hanging="567"/>
        <w:jc w:val="both"/>
        <w:rPr>
          <w:rFonts w:ascii="Tahoma" w:hAnsi="Tahoma" w:cs="Tahoma"/>
          <w:sz w:val="22"/>
          <w:szCs w:val="22"/>
        </w:rPr>
      </w:pPr>
      <w:r w:rsidRPr="00320965">
        <w:rPr>
          <w:rFonts w:ascii="Tahoma" w:hAnsi="Tahoma" w:cs="Tahoma"/>
          <w:sz w:val="22"/>
          <w:szCs w:val="22"/>
        </w:rPr>
        <w:t>En la misma fecha, el Impugnante presentó un escrito ratificándose en todos los extremos mencionados en su escrito anterior.</w:t>
      </w:r>
    </w:p>
    <w:p w:rsidR="00486D4B" w:rsidRPr="00320965" w:rsidRDefault="00486D4B" w:rsidP="00486D4B">
      <w:pPr>
        <w:tabs>
          <w:tab w:val="num" w:pos="567"/>
        </w:tabs>
        <w:jc w:val="both"/>
        <w:rPr>
          <w:rFonts w:ascii="Tahoma" w:hAnsi="Tahoma" w:cs="Tahoma"/>
          <w:sz w:val="22"/>
          <w:szCs w:val="22"/>
        </w:rPr>
      </w:pPr>
    </w:p>
    <w:p w:rsidR="00486D4B" w:rsidRPr="00320965" w:rsidRDefault="00486D4B" w:rsidP="00486D4B">
      <w:pPr>
        <w:pStyle w:val="Prrafodelista"/>
        <w:widowControl/>
        <w:numPr>
          <w:ilvl w:val="0"/>
          <w:numId w:val="8"/>
        </w:numPr>
        <w:tabs>
          <w:tab w:val="num" w:pos="567"/>
        </w:tabs>
        <w:suppressAutoHyphens w:val="0"/>
        <w:ind w:left="567" w:hanging="567"/>
        <w:jc w:val="both"/>
        <w:rPr>
          <w:rFonts w:ascii="Tahoma" w:hAnsi="Tahoma" w:cs="Tahoma"/>
          <w:sz w:val="22"/>
          <w:szCs w:val="22"/>
        </w:rPr>
      </w:pPr>
      <w:r w:rsidRPr="00320965">
        <w:rPr>
          <w:rFonts w:ascii="Tahoma" w:hAnsi="Tahoma" w:cs="Tahoma"/>
          <w:sz w:val="22"/>
          <w:szCs w:val="22"/>
        </w:rPr>
        <w:t>Con decreto de fecha 17 de agosto de 2010, se declaró el expediente listo para resolver.</w:t>
      </w:r>
    </w:p>
    <w:p w:rsidR="00486D4B" w:rsidRPr="00320965" w:rsidRDefault="00486D4B" w:rsidP="00486D4B">
      <w:pPr>
        <w:pStyle w:val="Prrafodelista"/>
        <w:rPr>
          <w:rFonts w:ascii="Tahoma" w:hAnsi="Tahoma" w:cs="Tahoma"/>
          <w:sz w:val="22"/>
          <w:szCs w:val="22"/>
        </w:rPr>
      </w:pPr>
    </w:p>
    <w:p w:rsidR="00486D4B" w:rsidRPr="00320965" w:rsidRDefault="00486D4B" w:rsidP="00486D4B">
      <w:pPr>
        <w:pStyle w:val="Prrafodelista"/>
        <w:widowControl/>
        <w:numPr>
          <w:ilvl w:val="0"/>
          <w:numId w:val="8"/>
        </w:numPr>
        <w:tabs>
          <w:tab w:val="num" w:pos="567"/>
        </w:tabs>
        <w:suppressAutoHyphens w:val="0"/>
        <w:ind w:left="567" w:hanging="567"/>
        <w:jc w:val="both"/>
        <w:rPr>
          <w:rFonts w:ascii="Tahoma" w:hAnsi="Tahoma" w:cs="Tahoma"/>
          <w:sz w:val="22"/>
          <w:szCs w:val="22"/>
        </w:rPr>
      </w:pPr>
      <w:r w:rsidRPr="00320965">
        <w:rPr>
          <w:rFonts w:ascii="Tahoma" w:hAnsi="Tahoma" w:cs="Tahoma"/>
          <w:sz w:val="22"/>
          <w:szCs w:val="22"/>
        </w:rPr>
        <w:t>El 19 de abril de 2011 el Impugnante remitió a este Tribunal un escrito mediante el cual solicitó que este Tribunal disponga que la Entidad pague a su representada la suma de S/.8000.00, pagando los daños y perjuicios ocasionados, como el daño emergente y lucro cesante, renovación de cartas fianzas, gastos de asesoramiento legal, técnico pasajes y viáticos.</w:t>
      </w:r>
    </w:p>
    <w:p w:rsidR="00486D4B" w:rsidRPr="00320965" w:rsidRDefault="00486D4B" w:rsidP="00486D4B">
      <w:pPr>
        <w:contextualSpacing/>
        <w:jc w:val="both"/>
        <w:rPr>
          <w:rFonts w:ascii="Tahoma" w:hAnsi="Tahoma" w:cs="Tahoma"/>
          <w:sz w:val="22"/>
          <w:szCs w:val="22"/>
          <w:lang w:val="es-ES_tradnl"/>
        </w:rPr>
      </w:pPr>
    </w:p>
    <w:p w:rsidR="00486D4B" w:rsidRPr="00320965" w:rsidRDefault="00486D4B" w:rsidP="00486D4B">
      <w:pPr>
        <w:pStyle w:val="Prrafodelista"/>
        <w:numPr>
          <w:ilvl w:val="0"/>
          <w:numId w:val="1"/>
        </w:numPr>
        <w:ind w:left="567"/>
        <w:jc w:val="both"/>
        <w:rPr>
          <w:rFonts w:ascii="Tahoma" w:hAnsi="Tahoma" w:cs="Tahoma"/>
          <w:b/>
          <w:shadow/>
          <w:sz w:val="22"/>
          <w:szCs w:val="22"/>
        </w:rPr>
      </w:pPr>
      <w:r w:rsidRPr="00320965">
        <w:rPr>
          <w:rFonts w:ascii="Tahoma" w:hAnsi="Tahoma" w:cs="Tahoma"/>
          <w:b/>
          <w:sz w:val="22"/>
          <w:szCs w:val="22"/>
        </w:rPr>
        <w:t>FUNDAMENTACIÓN:</w:t>
      </w:r>
    </w:p>
    <w:p w:rsidR="00486D4B" w:rsidRPr="00320965" w:rsidRDefault="00486D4B" w:rsidP="00486D4B">
      <w:pPr>
        <w:pStyle w:val="Prrafodelista"/>
        <w:ind w:left="567"/>
        <w:jc w:val="both"/>
        <w:rPr>
          <w:rFonts w:ascii="Tahoma" w:hAnsi="Tahoma" w:cs="Tahoma"/>
          <w:b/>
          <w:shadow/>
          <w:sz w:val="22"/>
          <w:szCs w:val="22"/>
        </w:rPr>
      </w:pPr>
    </w:p>
    <w:p w:rsidR="009613E2" w:rsidRPr="00320965" w:rsidRDefault="009613E2" w:rsidP="009613E2">
      <w:pPr>
        <w:pStyle w:val="Prrafodelista"/>
        <w:widowControl/>
        <w:numPr>
          <w:ilvl w:val="0"/>
          <w:numId w:val="10"/>
        </w:numPr>
        <w:suppressAutoHyphens w:val="0"/>
        <w:ind w:left="567" w:hanging="567"/>
        <w:contextualSpacing/>
        <w:jc w:val="both"/>
        <w:rPr>
          <w:rFonts w:ascii="Tahoma" w:hAnsi="Tahoma" w:cs="Tahoma"/>
          <w:sz w:val="22"/>
          <w:szCs w:val="22"/>
        </w:rPr>
      </w:pPr>
      <w:r w:rsidRPr="00320965">
        <w:rPr>
          <w:rFonts w:ascii="Tahoma" w:hAnsi="Tahoma" w:cs="Tahoma"/>
          <w:sz w:val="22"/>
          <w:szCs w:val="22"/>
        </w:rPr>
        <w:t xml:space="preserve">Es materia del presente procedimiento administrativo el recurso de apelación interpuesto por el Impugnante en </w:t>
      </w:r>
      <w:r w:rsidRPr="00320965">
        <w:rPr>
          <w:rFonts w:ascii="Tahoma" w:hAnsi="Tahoma" w:cs="Tahoma"/>
          <w:color w:val="000000"/>
          <w:sz w:val="22"/>
          <w:szCs w:val="22"/>
        </w:rPr>
        <w:t xml:space="preserve">contra de </w:t>
      </w:r>
      <w:r w:rsidRPr="00320965">
        <w:rPr>
          <w:rFonts w:ascii="Tahoma" w:hAnsi="Tahoma" w:cs="Tahoma"/>
          <w:sz w:val="22"/>
          <w:szCs w:val="22"/>
        </w:rPr>
        <w:t xml:space="preserve">la Resolución de Alcaldía Nº 012-2011-MPSP/A de fecha 12 de enero de 2011, emitida por la Municipalidad Provincial de San Pablo, en adelante, la Entidad, mediante el cual declaró la Nulidad de Oficio del Proceso de Adjudicación de Menor Cuantía Nº 022-2010-MPSP/CEP, derivada de la Adjudicación Directa Selectiva Nº 010-2010-MPSP/CEP, convocado para la ejecución de la Obra:  “Construcción Pavimento JR. Trujillo, tramo el Jr. Cajamarca y Av. Julián Cruzado-Ciudad de San Pablo, Distrito de San Pablo, Provincia de San Pablo-Cajamarca I Etapa”. </w:t>
      </w:r>
    </w:p>
    <w:p w:rsidR="009613E2" w:rsidRPr="00320965" w:rsidRDefault="009613E2" w:rsidP="009613E2">
      <w:pPr>
        <w:tabs>
          <w:tab w:val="left" w:pos="567"/>
        </w:tabs>
        <w:autoSpaceDE w:val="0"/>
        <w:autoSpaceDN w:val="0"/>
        <w:adjustRightInd w:val="0"/>
        <w:ind w:left="567"/>
        <w:jc w:val="both"/>
        <w:rPr>
          <w:rFonts w:ascii="Tahoma" w:hAnsi="Tahoma" w:cs="Tahoma"/>
          <w:sz w:val="22"/>
          <w:szCs w:val="22"/>
        </w:rPr>
      </w:pPr>
    </w:p>
    <w:p w:rsidR="009613E2" w:rsidRPr="00320965" w:rsidRDefault="009613E2" w:rsidP="009613E2">
      <w:pPr>
        <w:numPr>
          <w:ilvl w:val="0"/>
          <w:numId w:val="10"/>
        </w:numPr>
        <w:tabs>
          <w:tab w:val="left" w:pos="567"/>
        </w:tabs>
        <w:autoSpaceDE w:val="0"/>
        <w:autoSpaceDN w:val="0"/>
        <w:adjustRightInd w:val="0"/>
        <w:ind w:left="567" w:hanging="567"/>
        <w:jc w:val="both"/>
        <w:rPr>
          <w:rFonts w:ascii="Tahoma" w:hAnsi="Tahoma" w:cs="Tahoma"/>
          <w:sz w:val="22"/>
          <w:szCs w:val="22"/>
        </w:rPr>
      </w:pPr>
      <w:r w:rsidRPr="00320965">
        <w:rPr>
          <w:rFonts w:ascii="Tahoma" w:hAnsi="Tahoma" w:cs="Tahoma"/>
          <w:sz w:val="22"/>
          <w:szCs w:val="22"/>
        </w:rPr>
        <w:t>Debe tenerse en cuenta que el presente proceso de selección se llevó a cabo estando vigente la Ley de Contrataciones del Estado, aprobada por Decreto Legislativo Nº 1017 – en adelante la Ley– , y su Reglamento, aprobado por Decreto Supremo Nº 184-2008-EF, en adelante el Reglamento; por lo que tales disposiciones legales resultan aplicables.</w:t>
      </w:r>
    </w:p>
    <w:p w:rsidR="009613E2" w:rsidRPr="00320965" w:rsidRDefault="009613E2" w:rsidP="009613E2">
      <w:pPr>
        <w:tabs>
          <w:tab w:val="left" w:pos="567"/>
        </w:tabs>
        <w:autoSpaceDE w:val="0"/>
        <w:autoSpaceDN w:val="0"/>
        <w:adjustRightInd w:val="0"/>
        <w:ind w:left="567"/>
        <w:jc w:val="both"/>
        <w:rPr>
          <w:rFonts w:ascii="Tahoma" w:hAnsi="Tahoma" w:cs="Tahoma"/>
          <w:sz w:val="22"/>
          <w:szCs w:val="22"/>
        </w:rPr>
      </w:pPr>
    </w:p>
    <w:p w:rsidR="009613E2" w:rsidRPr="00320965" w:rsidRDefault="009613E2" w:rsidP="009613E2">
      <w:pPr>
        <w:pStyle w:val="Prrafodelista2"/>
        <w:widowControl/>
        <w:numPr>
          <w:ilvl w:val="0"/>
          <w:numId w:val="10"/>
        </w:numPr>
        <w:tabs>
          <w:tab w:val="num" w:pos="567"/>
        </w:tabs>
        <w:suppressAutoHyphens w:val="0"/>
        <w:autoSpaceDE w:val="0"/>
        <w:autoSpaceDN w:val="0"/>
        <w:adjustRightInd w:val="0"/>
        <w:ind w:left="567" w:hanging="567"/>
        <w:jc w:val="both"/>
        <w:rPr>
          <w:rFonts w:ascii="Tahoma" w:hAnsi="Tahoma" w:cs="Tahoma"/>
          <w:sz w:val="22"/>
          <w:szCs w:val="22"/>
        </w:rPr>
      </w:pPr>
      <w:r w:rsidRPr="00320965">
        <w:rPr>
          <w:rFonts w:ascii="Tahoma" w:hAnsi="Tahoma" w:cs="Tahoma"/>
          <w:sz w:val="22"/>
          <w:szCs w:val="22"/>
        </w:rPr>
        <w:t>De los antecedentes reseñados fluye que el asunto controvertido consiste en determinar si corresponde declarar la nulidad de Resolución de Alcaldía Nº 012-2011-MPSP/A, y de ser el caso ratificar el otorgamiento de la Buena Pro al Impugnante.</w:t>
      </w:r>
    </w:p>
    <w:p w:rsidR="009613E2" w:rsidRPr="00320965" w:rsidRDefault="009613E2" w:rsidP="009613E2">
      <w:pPr>
        <w:pStyle w:val="Prrafodelista2"/>
        <w:widowControl/>
        <w:tabs>
          <w:tab w:val="left" w:pos="567"/>
        </w:tabs>
        <w:suppressAutoHyphens w:val="0"/>
        <w:autoSpaceDE w:val="0"/>
        <w:autoSpaceDN w:val="0"/>
        <w:adjustRightInd w:val="0"/>
        <w:ind w:left="0"/>
        <w:jc w:val="both"/>
        <w:rPr>
          <w:rFonts w:ascii="Tahoma" w:hAnsi="Tahoma" w:cs="Tahoma"/>
          <w:sz w:val="22"/>
          <w:szCs w:val="22"/>
        </w:rPr>
      </w:pPr>
    </w:p>
    <w:p w:rsidR="009613E2" w:rsidRPr="00320965" w:rsidRDefault="009613E2" w:rsidP="009613E2">
      <w:pPr>
        <w:pStyle w:val="Prrafodelista"/>
        <w:widowControl/>
        <w:numPr>
          <w:ilvl w:val="0"/>
          <w:numId w:val="10"/>
        </w:numPr>
        <w:suppressAutoHyphens w:val="0"/>
        <w:ind w:left="567" w:hanging="567"/>
        <w:contextualSpacing/>
        <w:jc w:val="both"/>
        <w:rPr>
          <w:rFonts w:ascii="Tahoma" w:hAnsi="Tahoma" w:cs="Tahoma"/>
          <w:sz w:val="22"/>
          <w:szCs w:val="22"/>
        </w:rPr>
      </w:pPr>
      <w:r w:rsidRPr="00320965">
        <w:rPr>
          <w:rFonts w:ascii="Tahoma" w:hAnsi="Tahoma" w:cs="Tahoma"/>
          <w:sz w:val="22"/>
          <w:szCs w:val="22"/>
        </w:rPr>
        <w:lastRenderedPageBreak/>
        <w:t>Como marco referencial, es preciso tener en cuenta que en reiterada jurisprudencia emitida por este Tribunal, se ha establecido que las Bases constituyen las reglas del proceso de selección y es en función de ellas que debe efectuarse la calificación y evaluación de las propuestas, conforme a lo dispuesto en el artículo 26º de la Ley, la cual señala que lo establecido en las Bases, en la citada Ley y en el Reglamento, obliga a todos los postores y a la Entidad convocante.</w:t>
      </w:r>
    </w:p>
    <w:p w:rsidR="009613E2" w:rsidRPr="00320965" w:rsidRDefault="009613E2" w:rsidP="009613E2">
      <w:pPr>
        <w:pStyle w:val="Prrafodelista"/>
        <w:rPr>
          <w:rFonts w:ascii="Tahoma" w:hAnsi="Tahoma" w:cs="Tahoma"/>
          <w:sz w:val="22"/>
          <w:szCs w:val="22"/>
        </w:rPr>
      </w:pPr>
    </w:p>
    <w:p w:rsidR="009613E2" w:rsidRPr="00320965" w:rsidRDefault="009613E2" w:rsidP="009613E2">
      <w:pPr>
        <w:pStyle w:val="Prrafodelista"/>
        <w:numPr>
          <w:ilvl w:val="0"/>
          <w:numId w:val="10"/>
        </w:numPr>
        <w:tabs>
          <w:tab w:val="num" w:pos="0"/>
          <w:tab w:val="num" w:pos="567"/>
        </w:tabs>
        <w:ind w:left="567" w:hanging="567"/>
        <w:contextualSpacing/>
        <w:jc w:val="both"/>
        <w:rPr>
          <w:rFonts w:ascii="Tahoma" w:hAnsi="Tahoma" w:cs="Tahoma"/>
          <w:sz w:val="22"/>
          <w:szCs w:val="22"/>
        </w:rPr>
      </w:pPr>
      <w:r w:rsidRPr="00320965">
        <w:rPr>
          <w:rFonts w:ascii="Tahoma" w:hAnsi="Tahoma" w:cs="Tahoma"/>
          <w:sz w:val="22"/>
          <w:szCs w:val="22"/>
        </w:rPr>
        <w:t>Asimismo, el artículo 61º del Reglamento, establece que para que una propuesta sea admitida deberá incluir, cumplir y, en su caso, acreditar la documentación de presentación obligatoria que se establezca en las Bases Administrativas y los requerimientos técnicos mínimos que constituyen las características técnicas, normas reglamentarias y cualquier otro requisito establecido como tal en las Bases y en las disposiciones legales que regulan el objeto materia de la contratación.</w:t>
      </w:r>
    </w:p>
    <w:p w:rsidR="009613E2" w:rsidRPr="00320965" w:rsidRDefault="009613E2" w:rsidP="009613E2">
      <w:pPr>
        <w:pStyle w:val="Prrafodelista1"/>
        <w:rPr>
          <w:rFonts w:ascii="Tahoma" w:eastAsia="Times New Roman" w:hAnsi="Tahoma" w:cs="Tahoma"/>
          <w:sz w:val="22"/>
          <w:szCs w:val="22"/>
        </w:rPr>
      </w:pPr>
    </w:p>
    <w:p w:rsidR="009613E2" w:rsidRPr="00320965" w:rsidRDefault="009613E2" w:rsidP="009613E2">
      <w:pPr>
        <w:pStyle w:val="Prrafodelista"/>
        <w:numPr>
          <w:ilvl w:val="0"/>
          <w:numId w:val="10"/>
        </w:numPr>
        <w:tabs>
          <w:tab w:val="num" w:pos="567"/>
        </w:tabs>
        <w:ind w:left="567" w:hanging="567"/>
        <w:contextualSpacing/>
        <w:jc w:val="both"/>
        <w:rPr>
          <w:rFonts w:ascii="Tahoma" w:hAnsi="Tahoma" w:cs="Tahoma"/>
          <w:sz w:val="22"/>
          <w:szCs w:val="22"/>
        </w:rPr>
      </w:pPr>
      <w:r w:rsidRPr="00320965">
        <w:rPr>
          <w:rFonts w:ascii="Tahoma" w:hAnsi="Tahoma" w:cs="Tahoma"/>
          <w:sz w:val="22"/>
          <w:szCs w:val="22"/>
        </w:rPr>
        <w:t>Por su parte, el artículo 70º señala que a efecto de admitir las propuestas técnicas, el Comité Especial verificará que las ofertas cumplan con los requisitos de admisión de las propuestas establecidos en las Bases y que sólo una vez admitidas las propuestas, aplicará los factores de evaluación previstos en las Bases asignando los puntajes correspondientes, conforme a los criterios establecidos para cada factor y a la documentación sustentatoria presentada por el postor.</w:t>
      </w:r>
    </w:p>
    <w:p w:rsidR="009613E2" w:rsidRPr="00320965" w:rsidRDefault="009613E2" w:rsidP="009613E2">
      <w:pPr>
        <w:ind w:left="567"/>
        <w:jc w:val="both"/>
        <w:rPr>
          <w:rFonts w:ascii="Tahoma" w:hAnsi="Tahoma" w:cs="Tahoma"/>
          <w:sz w:val="22"/>
          <w:szCs w:val="22"/>
        </w:rPr>
      </w:pPr>
    </w:p>
    <w:p w:rsidR="009613E2" w:rsidRPr="00320965" w:rsidRDefault="009613E2" w:rsidP="009613E2">
      <w:pPr>
        <w:numPr>
          <w:ilvl w:val="0"/>
          <w:numId w:val="10"/>
        </w:numPr>
        <w:tabs>
          <w:tab w:val="num" w:pos="567"/>
        </w:tabs>
        <w:ind w:left="567" w:hanging="567"/>
        <w:jc w:val="both"/>
        <w:rPr>
          <w:rFonts w:ascii="Tahoma" w:hAnsi="Tahoma" w:cs="Tahoma"/>
          <w:sz w:val="22"/>
          <w:szCs w:val="22"/>
        </w:rPr>
      </w:pPr>
      <w:r w:rsidRPr="00320965">
        <w:rPr>
          <w:rFonts w:ascii="Tahoma" w:hAnsi="Tahoma" w:cs="Tahoma"/>
          <w:sz w:val="22"/>
          <w:szCs w:val="22"/>
        </w:rPr>
        <w:t>En base a la normativa antes señalada, corresponde a este Tribunal analizar los cuestionamientos realizados por el Impugnante contra la Resolución de Alcaldía Nº 012-2011-MPSP/A.</w:t>
      </w:r>
    </w:p>
    <w:p w:rsidR="009613E2" w:rsidRPr="00320965" w:rsidRDefault="009613E2" w:rsidP="009613E2">
      <w:pPr>
        <w:jc w:val="both"/>
        <w:rPr>
          <w:rFonts w:ascii="Tahoma" w:hAnsi="Tahoma" w:cs="Tahoma"/>
          <w:sz w:val="22"/>
          <w:szCs w:val="22"/>
        </w:rPr>
      </w:pPr>
    </w:p>
    <w:p w:rsidR="009613E2" w:rsidRPr="00320965" w:rsidRDefault="009613E2" w:rsidP="009613E2">
      <w:pPr>
        <w:numPr>
          <w:ilvl w:val="0"/>
          <w:numId w:val="10"/>
        </w:numPr>
        <w:tabs>
          <w:tab w:val="num" w:pos="567"/>
        </w:tabs>
        <w:ind w:left="567" w:hanging="567"/>
        <w:jc w:val="both"/>
        <w:rPr>
          <w:rFonts w:ascii="Tahoma" w:hAnsi="Tahoma" w:cs="Tahoma"/>
          <w:sz w:val="22"/>
          <w:szCs w:val="22"/>
        </w:rPr>
      </w:pPr>
      <w:r w:rsidRPr="00320965">
        <w:rPr>
          <w:rFonts w:ascii="Tahoma" w:hAnsi="Tahoma" w:cs="Tahoma"/>
          <w:sz w:val="22"/>
          <w:szCs w:val="22"/>
        </w:rPr>
        <w:t>Ahora bien, la Resolución de Alcaldía Nº 012-2011-MPSP/A, establece en su parte Considerativa lo siguiente:</w:t>
      </w:r>
    </w:p>
    <w:p w:rsidR="009613E2" w:rsidRPr="00320965" w:rsidRDefault="009613E2" w:rsidP="009613E2">
      <w:pPr>
        <w:pStyle w:val="Prrafodelista"/>
        <w:rPr>
          <w:rFonts w:ascii="Tahoma" w:hAnsi="Tahoma" w:cs="Tahoma"/>
          <w:sz w:val="22"/>
          <w:szCs w:val="22"/>
        </w:rPr>
      </w:pPr>
    </w:p>
    <w:p w:rsidR="009613E2" w:rsidRPr="00320965" w:rsidRDefault="009613E2" w:rsidP="009613E2">
      <w:pPr>
        <w:numPr>
          <w:ilvl w:val="0"/>
          <w:numId w:val="10"/>
        </w:numPr>
        <w:tabs>
          <w:tab w:val="num" w:pos="567"/>
        </w:tabs>
        <w:ind w:left="567" w:hanging="567"/>
        <w:jc w:val="both"/>
        <w:rPr>
          <w:rFonts w:ascii="Tahoma" w:hAnsi="Tahoma" w:cs="Tahoma"/>
          <w:sz w:val="22"/>
          <w:szCs w:val="22"/>
        </w:rPr>
      </w:pPr>
      <w:r w:rsidRPr="00320965">
        <w:rPr>
          <w:rFonts w:ascii="Tahoma" w:hAnsi="Tahoma" w:cs="Tahoma"/>
          <w:b/>
          <w:sz w:val="22"/>
          <w:szCs w:val="22"/>
          <w:u w:val="single"/>
        </w:rPr>
        <w:t>Primer Punto</w:t>
      </w:r>
      <w:r w:rsidRPr="00320965">
        <w:rPr>
          <w:rFonts w:ascii="Tahoma" w:hAnsi="Tahoma" w:cs="Tahoma"/>
          <w:sz w:val="22"/>
          <w:szCs w:val="22"/>
        </w:rPr>
        <w:t>:</w:t>
      </w:r>
    </w:p>
    <w:p w:rsidR="009613E2" w:rsidRPr="00320965" w:rsidRDefault="009613E2" w:rsidP="009613E2">
      <w:pPr>
        <w:ind w:left="567"/>
        <w:jc w:val="both"/>
        <w:rPr>
          <w:rFonts w:ascii="Tahoma" w:hAnsi="Tahoma" w:cs="Tahoma"/>
          <w:sz w:val="22"/>
          <w:szCs w:val="22"/>
        </w:rPr>
      </w:pPr>
      <w:r w:rsidRPr="00320965">
        <w:rPr>
          <w:rFonts w:ascii="Tahoma" w:hAnsi="Tahoma" w:cs="Tahoma"/>
          <w:noProof/>
          <w:sz w:val="22"/>
          <w:szCs w:val="22"/>
        </w:rPr>
        <w:drawing>
          <wp:inline distT="0" distB="0" distL="0" distR="0">
            <wp:extent cx="4513193" cy="1660211"/>
            <wp:effectExtent l="19050" t="0" r="1657" b="0"/>
            <wp:docPr id="8" name="7 Imagen" descr="Dibujo mm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bujo mmm.JPG"/>
                    <pic:cNvPicPr/>
                  </pic:nvPicPr>
                  <pic:blipFill>
                    <a:blip r:embed="rId7"/>
                    <a:stretch>
                      <a:fillRect/>
                    </a:stretch>
                  </pic:blipFill>
                  <pic:spPr>
                    <a:xfrm>
                      <a:off x="0" y="0"/>
                      <a:ext cx="4520796" cy="1663008"/>
                    </a:xfrm>
                    <a:prstGeom prst="rect">
                      <a:avLst/>
                    </a:prstGeom>
                  </pic:spPr>
                </pic:pic>
              </a:graphicData>
            </a:graphic>
          </wp:inline>
        </w:drawing>
      </w:r>
    </w:p>
    <w:p w:rsidR="009613E2" w:rsidRPr="00320965" w:rsidRDefault="009613E2" w:rsidP="009613E2">
      <w:pPr>
        <w:ind w:left="567"/>
        <w:jc w:val="both"/>
        <w:rPr>
          <w:rFonts w:ascii="Tahoma" w:hAnsi="Tahoma" w:cs="Tahoma"/>
          <w:sz w:val="22"/>
          <w:szCs w:val="22"/>
        </w:rPr>
      </w:pPr>
      <w:r w:rsidRPr="00320965">
        <w:rPr>
          <w:rFonts w:ascii="Tahoma" w:hAnsi="Tahoma" w:cs="Tahoma"/>
          <w:noProof/>
          <w:sz w:val="22"/>
          <w:szCs w:val="22"/>
        </w:rPr>
        <w:lastRenderedPageBreak/>
        <w:drawing>
          <wp:inline distT="0" distB="0" distL="0" distR="0">
            <wp:extent cx="5311233" cy="2986007"/>
            <wp:effectExtent l="19050" t="0" r="3717" b="0"/>
            <wp:docPr id="4" name="3 Imagen" descr="Dibuj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bujo 2.JPG"/>
                    <pic:cNvPicPr/>
                  </pic:nvPicPr>
                  <pic:blipFill>
                    <a:blip r:embed="rId8"/>
                    <a:stretch>
                      <a:fillRect/>
                    </a:stretch>
                  </pic:blipFill>
                  <pic:spPr>
                    <a:xfrm>
                      <a:off x="0" y="0"/>
                      <a:ext cx="5316143" cy="2988767"/>
                    </a:xfrm>
                    <a:prstGeom prst="rect">
                      <a:avLst/>
                    </a:prstGeom>
                  </pic:spPr>
                </pic:pic>
              </a:graphicData>
            </a:graphic>
          </wp:inline>
        </w:drawing>
      </w:r>
    </w:p>
    <w:p w:rsidR="009613E2" w:rsidRPr="00320965" w:rsidRDefault="009613E2" w:rsidP="009613E2">
      <w:pPr>
        <w:numPr>
          <w:ilvl w:val="0"/>
          <w:numId w:val="10"/>
        </w:numPr>
        <w:tabs>
          <w:tab w:val="num" w:pos="567"/>
        </w:tabs>
        <w:ind w:left="567" w:hanging="567"/>
        <w:jc w:val="both"/>
        <w:rPr>
          <w:rFonts w:ascii="Tahoma" w:hAnsi="Tahoma" w:cs="Tahoma"/>
          <w:i/>
          <w:sz w:val="22"/>
          <w:szCs w:val="22"/>
        </w:rPr>
      </w:pPr>
      <w:r w:rsidRPr="00320965">
        <w:rPr>
          <w:rFonts w:ascii="Tahoma" w:hAnsi="Tahoma" w:cs="Tahoma"/>
          <w:sz w:val="22"/>
          <w:szCs w:val="22"/>
        </w:rPr>
        <w:t>Al respecto, el tercer párrafo del artículo 39 del Reglamento establece “</w:t>
      </w:r>
      <w:r w:rsidRPr="00320965">
        <w:rPr>
          <w:rFonts w:ascii="Tahoma" w:hAnsi="Tahoma" w:cs="Tahoma"/>
          <w:i/>
          <w:sz w:val="22"/>
          <w:szCs w:val="22"/>
        </w:rPr>
        <w:t>que de conformidad con el artículo 33 de la Ley, las Bases deberán consignar, en el caso de los procesos para la ejecución de obras, el monto máximo admisible de la propuesta económica, el cual será el ciento diez por ciento (110%) del valor referencial;  y para el caso de los procesos de ejecución y consultoría de obras el monto mínimo admisible, el cual será el noventa por ciento (90%) del valor referencial.</w:t>
      </w:r>
    </w:p>
    <w:p w:rsidR="009613E2" w:rsidRPr="00320965" w:rsidRDefault="009613E2" w:rsidP="009613E2">
      <w:pPr>
        <w:ind w:left="567"/>
        <w:jc w:val="both"/>
        <w:rPr>
          <w:rFonts w:ascii="Tahoma" w:hAnsi="Tahoma" w:cs="Tahoma"/>
          <w:i/>
          <w:sz w:val="22"/>
          <w:szCs w:val="22"/>
        </w:rPr>
      </w:pPr>
      <w:r w:rsidRPr="00320965">
        <w:rPr>
          <w:rFonts w:ascii="Tahoma" w:hAnsi="Tahoma" w:cs="Tahoma"/>
          <w:i/>
          <w:sz w:val="22"/>
          <w:szCs w:val="22"/>
        </w:rPr>
        <w:t xml:space="preserve">Para tal efecto, los límites del valor referencial se calcularán considerando dos (2) decimales. Para ello, si el límite inferior del valor referencial tiene más de dos (2) decimales, se aumentará en un digito el valor del segundo decimal. En el caso del límite superior del valor referencial, se consignará el valor del segundo decimal, sin efectuar redondeo.” </w:t>
      </w:r>
    </w:p>
    <w:p w:rsidR="009613E2" w:rsidRPr="00320965" w:rsidRDefault="009613E2" w:rsidP="009613E2">
      <w:pPr>
        <w:ind w:left="567"/>
        <w:jc w:val="both"/>
        <w:rPr>
          <w:rFonts w:ascii="Tahoma" w:hAnsi="Tahoma" w:cs="Tahoma"/>
          <w:i/>
          <w:sz w:val="22"/>
          <w:szCs w:val="22"/>
        </w:rPr>
      </w:pPr>
    </w:p>
    <w:p w:rsidR="009613E2" w:rsidRPr="00320965" w:rsidRDefault="009613E2" w:rsidP="009613E2">
      <w:pPr>
        <w:numPr>
          <w:ilvl w:val="0"/>
          <w:numId w:val="10"/>
        </w:numPr>
        <w:tabs>
          <w:tab w:val="num" w:pos="567"/>
        </w:tabs>
        <w:ind w:left="567" w:hanging="567"/>
        <w:jc w:val="both"/>
        <w:rPr>
          <w:rFonts w:ascii="Tahoma" w:hAnsi="Tahoma" w:cs="Tahoma"/>
          <w:sz w:val="22"/>
          <w:szCs w:val="22"/>
        </w:rPr>
      </w:pPr>
      <w:r w:rsidRPr="00320965">
        <w:rPr>
          <w:rFonts w:ascii="Tahoma" w:hAnsi="Tahoma" w:cs="Tahoma"/>
          <w:sz w:val="22"/>
          <w:szCs w:val="22"/>
        </w:rPr>
        <w:t xml:space="preserve">En el presente caso, el valor referencial (VR) establecido en las Bases fue el siguiente: </w:t>
      </w:r>
      <w:r w:rsidRPr="00320965">
        <w:rPr>
          <w:rFonts w:ascii="Tahoma" w:hAnsi="Tahoma" w:cs="Tahoma"/>
          <w:b/>
          <w:sz w:val="22"/>
          <w:szCs w:val="22"/>
        </w:rPr>
        <w:t>S/. 229,106.58.</w:t>
      </w:r>
      <w:r w:rsidRPr="00320965">
        <w:rPr>
          <w:rFonts w:ascii="Tahoma" w:hAnsi="Tahoma" w:cs="Tahoma"/>
          <w:sz w:val="22"/>
          <w:szCs w:val="22"/>
        </w:rPr>
        <w:t xml:space="preserve"> </w:t>
      </w:r>
    </w:p>
    <w:p w:rsidR="009613E2" w:rsidRPr="00320965" w:rsidRDefault="009613E2" w:rsidP="009613E2">
      <w:pPr>
        <w:ind w:left="567"/>
        <w:jc w:val="both"/>
        <w:rPr>
          <w:rFonts w:ascii="Tahoma" w:hAnsi="Tahoma" w:cs="Tahoma"/>
          <w:sz w:val="22"/>
          <w:szCs w:val="22"/>
        </w:rPr>
      </w:pPr>
      <w:r w:rsidRPr="00320965">
        <w:rPr>
          <w:rFonts w:ascii="Tahoma" w:hAnsi="Tahoma" w:cs="Tahoma"/>
          <w:sz w:val="22"/>
          <w:szCs w:val="22"/>
        </w:rPr>
        <w:t xml:space="preserve">Por lo tanto, el límite inferior de dicho valor referencial debió ser: </w:t>
      </w:r>
      <w:r w:rsidRPr="00320965">
        <w:rPr>
          <w:rFonts w:ascii="Tahoma" w:hAnsi="Tahoma" w:cs="Tahoma"/>
          <w:b/>
          <w:sz w:val="22"/>
          <w:szCs w:val="22"/>
        </w:rPr>
        <w:t>S/. 206,195.93</w:t>
      </w:r>
      <w:r w:rsidRPr="00320965">
        <w:rPr>
          <w:rFonts w:ascii="Tahoma" w:hAnsi="Tahoma" w:cs="Tahoma"/>
          <w:sz w:val="22"/>
          <w:szCs w:val="22"/>
        </w:rPr>
        <w:t xml:space="preserve"> (90% del VR, que al tener más de dos dígitos se debe aumentar un digito al segundo decimal).</w:t>
      </w:r>
    </w:p>
    <w:p w:rsidR="009613E2" w:rsidRPr="00320965" w:rsidRDefault="009613E2" w:rsidP="009613E2">
      <w:pPr>
        <w:ind w:left="567"/>
        <w:jc w:val="both"/>
        <w:rPr>
          <w:rFonts w:ascii="Tahoma" w:hAnsi="Tahoma" w:cs="Tahoma"/>
          <w:sz w:val="22"/>
          <w:szCs w:val="22"/>
        </w:rPr>
      </w:pPr>
    </w:p>
    <w:p w:rsidR="009613E2" w:rsidRPr="00320965" w:rsidRDefault="009613E2" w:rsidP="009613E2">
      <w:pPr>
        <w:pStyle w:val="Prrafodelista"/>
        <w:widowControl/>
        <w:numPr>
          <w:ilvl w:val="0"/>
          <w:numId w:val="10"/>
        </w:numPr>
        <w:suppressAutoHyphens w:val="0"/>
        <w:ind w:left="567" w:hanging="567"/>
        <w:jc w:val="both"/>
        <w:rPr>
          <w:rFonts w:ascii="Tahoma" w:hAnsi="Tahoma" w:cs="Tahoma"/>
          <w:sz w:val="22"/>
          <w:szCs w:val="22"/>
        </w:rPr>
      </w:pPr>
      <w:r w:rsidRPr="00320965">
        <w:rPr>
          <w:rFonts w:ascii="Tahoma" w:hAnsi="Tahoma" w:cs="Tahoma"/>
          <w:sz w:val="22"/>
          <w:szCs w:val="22"/>
        </w:rPr>
        <w:t>Sin embargo, las Bases Integradas establecieron como límite inferior lo siguiente:</w:t>
      </w:r>
      <w:r w:rsidRPr="00320965">
        <w:rPr>
          <w:rFonts w:ascii="Tahoma" w:hAnsi="Tahoma" w:cs="Tahoma"/>
          <w:b/>
          <w:sz w:val="22"/>
          <w:szCs w:val="22"/>
        </w:rPr>
        <w:t xml:space="preserve"> S/. 206,195.92.</w:t>
      </w:r>
    </w:p>
    <w:p w:rsidR="009613E2" w:rsidRPr="00320965" w:rsidRDefault="009613E2" w:rsidP="009613E2">
      <w:pPr>
        <w:pStyle w:val="Prrafodelista"/>
        <w:ind w:left="567"/>
        <w:jc w:val="both"/>
        <w:rPr>
          <w:rFonts w:ascii="Tahoma" w:hAnsi="Tahoma" w:cs="Tahoma"/>
          <w:sz w:val="22"/>
          <w:szCs w:val="22"/>
        </w:rPr>
      </w:pPr>
      <w:r w:rsidRPr="00320965">
        <w:rPr>
          <w:rFonts w:ascii="Tahoma" w:hAnsi="Tahoma" w:cs="Tahoma"/>
          <w:sz w:val="22"/>
          <w:szCs w:val="22"/>
        </w:rPr>
        <w:t>Por lo tanto, la Entidad señala que dicha consignación errónea produjo que no se establezca en las Bases de manera expresa (con letras y números) el límite mínimo.</w:t>
      </w:r>
    </w:p>
    <w:p w:rsidR="009613E2" w:rsidRPr="00320965" w:rsidRDefault="009613E2" w:rsidP="009613E2">
      <w:pPr>
        <w:jc w:val="both"/>
        <w:rPr>
          <w:rFonts w:ascii="Tahoma" w:hAnsi="Tahoma" w:cs="Tahoma"/>
          <w:sz w:val="22"/>
          <w:szCs w:val="22"/>
        </w:rPr>
      </w:pPr>
    </w:p>
    <w:p w:rsidR="009613E2" w:rsidRPr="00320965" w:rsidRDefault="009613E2" w:rsidP="00320965">
      <w:pPr>
        <w:pStyle w:val="Prrafodelista"/>
        <w:widowControl/>
        <w:numPr>
          <w:ilvl w:val="0"/>
          <w:numId w:val="10"/>
        </w:numPr>
        <w:suppressAutoHyphens w:val="0"/>
        <w:ind w:left="567" w:hanging="567"/>
        <w:jc w:val="both"/>
        <w:rPr>
          <w:rFonts w:ascii="Tahoma" w:hAnsi="Tahoma" w:cs="Tahoma"/>
          <w:sz w:val="22"/>
          <w:szCs w:val="22"/>
        </w:rPr>
      </w:pPr>
      <w:r w:rsidRPr="00320965">
        <w:rPr>
          <w:rFonts w:ascii="Tahoma" w:hAnsi="Tahoma" w:cs="Tahoma"/>
          <w:sz w:val="22"/>
          <w:szCs w:val="22"/>
        </w:rPr>
        <w:t xml:space="preserve">Cabe indicar el artículo 56 de la Ley dispone que el titular de la Entidad podrá declarar de oficio la nulidad del proceso de selección – cuando los actos administrativos hayan sido dictados por órgano incompetente, contravengan las </w:t>
      </w:r>
      <w:r w:rsidRPr="00320965">
        <w:rPr>
          <w:rFonts w:ascii="Tahoma" w:hAnsi="Tahoma" w:cs="Tahoma"/>
          <w:sz w:val="22"/>
          <w:szCs w:val="22"/>
        </w:rPr>
        <w:lastRenderedPageBreak/>
        <w:t>normas legales, contengan un imposible jurídico, o prescindan de las normas esenciales de procedimiento en la forma prescrita por la normatividad aplicable solo hasta antes de la celebración del contrato, sin perjuicio de que pueda ser declarada en la resolución recaída sobre los recursos impugnativos</w:t>
      </w:r>
    </w:p>
    <w:p w:rsidR="009613E2" w:rsidRPr="00320965" w:rsidRDefault="009613E2" w:rsidP="009613E2">
      <w:pPr>
        <w:pStyle w:val="Prrafodelista"/>
        <w:rPr>
          <w:rFonts w:ascii="Tahoma" w:hAnsi="Tahoma" w:cs="Tahoma"/>
          <w:sz w:val="22"/>
          <w:szCs w:val="22"/>
        </w:rPr>
      </w:pPr>
    </w:p>
    <w:p w:rsidR="009613E2" w:rsidRPr="00320965" w:rsidRDefault="009613E2" w:rsidP="009613E2">
      <w:pPr>
        <w:pStyle w:val="Prrafodelista"/>
        <w:widowControl/>
        <w:numPr>
          <w:ilvl w:val="0"/>
          <w:numId w:val="10"/>
        </w:numPr>
        <w:suppressAutoHyphens w:val="0"/>
        <w:ind w:left="567" w:hanging="567"/>
        <w:jc w:val="both"/>
        <w:rPr>
          <w:rFonts w:ascii="Tahoma" w:hAnsi="Tahoma" w:cs="Tahoma"/>
          <w:sz w:val="22"/>
          <w:szCs w:val="22"/>
        </w:rPr>
      </w:pPr>
      <w:r w:rsidRPr="00320965">
        <w:rPr>
          <w:rFonts w:ascii="Tahoma" w:hAnsi="Tahoma" w:cs="Tahoma"/>
          <w:sz w:val="22"/>
          <w:szCs w:val="22"/>
        </w:rPr>
        <w:t xml:space="preserve">Precisamente, la decisión de declarar nulo el proceso de selección se debió también a que se había contravenido las normas esenciales del procedimiento.  </w:t>
      </w:r>
    </w:p>
    <w:p w:rsidR="009613E2" w:rsidRPr="00320965" w:rsidRDefault="009613E2" w:rsidP="009613E2">
      <w:pPr>
        <w:jc w:val="both"/>
        <w:rPr>
          <w:rFonts w:ascii="Tahoma" w:hAnsi="Tahoma" w:cs="Tahoma"/>
          <w:sz w:val="22"/>
          <w:szCs w:val="22"/>
        </w:rPr>
      </w:pPr>
    </w:p>
    <w:p w:rsidR="009613E2" w:rsidRPr="00320965" w:rsidRDefault="009613E2" w:rsidP="009613E2">
      <w:pPr>
        <w:pStyle w:val="Prrafodelista"/>
        <w:widowControl/>
        <w:numPr>
          <w:ilvl w:val="0"/>
          <w:numId w:val="10"/>
        </w:numPr>
        <w:suppressAutoHyphens w:val="0"/>
        <w:ind w:left="567" w:hanging="567"/>
        <w:jc w:val="both"/>
        <w:rPr>
          <w:rFonts w:ascii="Tahoma" w:hAnsi="Tahoma" w:cs="Tahoma"/>
          <w:sz w:val="22"/>
          <w:szCs w:val="22"/>
        </w:rPr>
      </w:pPr>
      <w:r w:rsidRPr="00320965">
        <w:rPr>
          <w:rFonts w:ascii="Tahoma" w:hAnsi="Tahoma" w:cs="Tahoma"/>
          <w:sz w:val="22"/>
          <w:szCs w:val="22"/>
        </w:rPr>
        <w:t>En el presente caso, es necesario tener en cuenta que obra en el folio 071 del expediente copia del Acta de Apertura de Sobres, Evaluación de Propuestas y Otorgamiento de la Buena Pro del mencionado proceso, donde se aprecia que para dicho proceso de selección se presentaron dos Propuestas : S&amp;G Servicios Generales que ofertó un monto de S/. 224,524.46 y Corporación Brillantina SRL (la Adjudicataria) que ofertó con un monto de S/. 217,650.00; es decir, en el presente caso ambas propuestas económicas superan el límite mínimo del valor referencial correctamente establecido (S/. 206,195.93).</w:t>
      </w:r>
    </w:p>
    <w:p w:rsidR="009613E2" w:rsidRPr="00320965" w:rsidRDefault="009613E2" w:rsidP="009613E2">
      <w:pPr>
        <w:jc w:val="both"/>
        <w:rPr>
          <w:rFonts w:ascii="Tahoma" w:hAnsi="Tahoma" w:cs="Tahoma"/>
          <w:sz w:val="22"/>
          <w:szCs w:val="22"/>
        </w:rPr>
      </w:pPr>
    </w:p>
    <w:p w:rsidR="009613E2" w:rsidRPr="00320965" w:rsidRDefault="009613E2" w:rsidP="009613E2">
      <w:pPr>
        <w:pStyle w:val="Prrafodelista"/>
        <w:widowControl/>
        <w:numPr>
          <w:ilvl w:val="0"/>
          <w:numId w:val="10"/>
        </w:numPr>
        <w:suppressAutoHyphens w:val="0"/>
        <w:ind w:left="567" w:hanging="567"/>
        <w:jc w:val="both"/>
        <w:rPr>
          <w:rFonts w:ascii="Tahoma" w:hAnsi="Tahoma" w:cs="Tahoma"/>
          <w:sz w:val="22"/>
          <w:szCs w:val="22"/>
        </w:rPr>
      </w:pPr>
      <w:r w:rsidRPr="00320965">
        <w:rPr>
          <w:rFonts w:ascii="Tahoma" w:hAnsi="Tahoma" w:cs="Tahoma"/>
          <w:sz w:val="22"/>
          <w:szCs w:val="22"/>
        </w:rPr>
        <w:t>Teniendo en cuenta ello, y sin perjuicio de que se aprecia que la Entidad consignó un valor referencial mínimo de manera errónea, ello no resultó perjudicial para la Entidad ni para ambas propuestas económicas presentadas, que se encuentran dentro de lo establecido en el artículo 39 del Reglamento, Por lo tanto, no ha causado daño o perjuicio de los postores ni mucho menos a la Entidad. Además de ello, se aprecia que ningún postor se ha visto impedido de participar o de hacer valer sus derechos. Más aún, la propia Ley y su Reglamento no han considerado el incumplimiento de esa formalidad bajo sanción de nulidad, lo cual implicaría que este Tribunal determine si es posible su conservación o no, de conformidad con el artículo 14 de la Ley Nº 27444</w:t>
      </w:r>
      <w:r w:rsidRPr="00320965">
        <w:rPr>
          <w:rStyle w:val="Refdenotaalpie"/>
          <w:rFonts w:ascii="Tahoma" w:hAnsi="Tahoma" w:cs="Tahoma"/>
          <w:sz w:val="22"/>
          <w:szCs w:val="22"/>
        </w:rPr>
        <w:footnoteReference w:id="2"/>
      </w:r>
      <w:r w:rsidRPr="00320965">
        <w:rPr>
          <w:rFonts w:ascii="Tahoma" w:hAnsi="Tahoma" w:cs="Tahoma"/>
          <w:sz w:val="22"/>
          <w:szCs w:val="22"/>
        </w:rPr>
        <w:t>.</w:t>
      </w:r>
    </w:p>
    <w:p w:rsidR="009613E2" w:rsidRPr="00320965" w:rsidRDefault="009613E2" w:rsidP="009613E2">
      <w:pPr>
        <w:pStyle w:val="Prrafodelista"/>
        <w:rPr>
          <w:rFonts w:ascii="Tahoma" w:hAnsi="Tahoma" w:cs="Tahoma"/>
          <w:sz w:val="22"/>
          <w:szCs w:val="22"/>
        </w:rPr>
      </w:pPr>
    </w:p>
    <w:p w:rsidR="009613E2" w:rsidRPr="00320965" w:rsidRDefault="009613E2" w:rsidP="009613E2">
      <w:pPr>
        <w:pStyle w:val="Prrafodelista"/>
        <w:widowControl/>
        <w:numPr>
          <w:ilvl w:val="0"/>
          <w:numId w:val="10"/>
        </w:numPr>
        <w:suppressAutoHyphens w:val="0"/>
        <w:ind w:left="567" w:hanging="567"/>
        <w:jc w:val="both"/>
        <w:rPr>
          <w:rFonts w:ascii="Tahoma" w:hAnsi="Tahoma" w:cs="Tahoma"/>
          <w:sz w:val="22"/>
          <w:szCs w:val="22"/>
        </w:rPr>
      </w:pPr>
      <w:r w:rsidRPr="00320965">
        <w:rPr>
          <w:rFonts w:ascii="Tahoma" w:hAnsi="Tahoma" w:cs="Tahoma"/>
          <w:sz w:val="22"/>
          <w:szCs w:val="22"/>
        </w:rPr>
        <w:t>Al respecto, debe tenerse en cuenta, a partir de lo señalado en el numeral anterior,  que el vicio en el que se ha incurrido está referido a una transgresión de una formalidad no grave. Más aún, en la etapa en la que se encuentra el proceso resultaría inútil retrotraer el proceso a la etapa respectiva a fin de que únicamente se registre la variación en el límite minino consistente en S/.0.01. Avalar ese tipo de decisiones implicaría que este Tribunal se someta al yugo de la formalidad insensible e ineficiente, que impida que las decisiones de la Administración Pública denoten criterios de razonabilidad y proporcionalidad.</w:t>
      </w:r>
    </w:p>
    <w:p w:rsidR="009613E2" w:rsidRPr="00320965" w:rsidRDefault="009613E2" w:rsidP="009613E2">
      <w:pPr>
        <w:pStyle w:val="Prrafodelista"/>
        <w:rPr>
          <w:rFonts w:ascii="Tahoma" w:hAnsi="Tahoma" w:cs="Tahoma"/>
          <w:sz w:val="22"/>
          <w:szCs w:val="22"/>
        </w:rPr>
      </w:pPr>
    </w:p>
    <w:p w:rsidR="009613E2" w:rsidRPr="00320965" w:rsidRDefault="009613E2" w:rsidP="009613E2">
      <w:pPr>
        <w:pStyle w:val="Prrafodelista"/>
        <w:widowControl/>
        <w:numPr>
          <w:ilvl w:val="0"/>
          <w:numId w:val="10"/>
        </w:numPr>
        <w:suppressAutoHyphens w:val="0"/>
        <w:ind w:left="567" w:hanging="567"/>
        <w:jc w:val="both"/>
        <w:rPr>
          <w:rFonts w:ascii="Tahoma" w:hAnsi="Tahoma" w:cs="Tahoma"/>
          <w:sz w:val="22"/>
          <w:szCs w:val="22"/>
        </w:rPr>
      </w:pPr>
      <w:r w:rsidRPr="00320965">
        <w:rPr>
          <w:rFonts w:ascii="Tahoma" w:hAnsi="Tahoma" w:cs="Tahoma"/>
          <w:sz w:val="22"/>
          <w:szCs w:val="22"/>
        </w:rPr>
        <w:t>Al respecto, es necesario señalar que las Entidades deben ser conscientes de los esfuerzos y costos en los que incurren las empresas que participan en los procesos de selección que el Estado convoca, por lo que deben fomentar tratamientos y acciones que beneficien el dinamismo de las contrataciones públicas, así como su transparencia e imparcialidad, evitando con ello circunstancias o conductas que perjudiquen innecesariamente a los postores y, por ende, incrementen los costos de transacción.</w:t>
      </w:r>
    </w:p>
    <w:p w:rsidR="009613E2" w:rsidRPr="00320965" w:rsidRDefault="009613E2" w:rsidP="009613E2">
      <w:pPr>
        <w:pStyle w:val="Prrafodelista"/>
        <w:rPr>
          <w:rFonts w:ascii="Tahoma" w:hAnsi="Tahoma" w:cs="Tahoma"/>
          <w:sz w:val="22"/>
          <w:szCs w:val="22"/>
        </w:rPr>
      </w:pPr>
    </w:p>
    <w:p w:rsidR="009613E2" w:rsidRPr="00320965" w:rsidRDefault="009613E2" w:rsidP="009613E2">
      <w:pPr>
        <w:pStyle w:val="Prrafodelista"/>
        <w:widowControl/>
        <w:numPr>
          <w:ilvl w:val="0"/>
          <w:numId w:val="10"/>
        </w:numPr>
        <w:suppressAutoHyphens w:val="0"/>
        <w:ind w:left="567" w:hanging="567"/>
        <w:jc w:val="both"/>
        <w:rPr>
          <w:rFonts w:ascii="Tahoma" w:hAnsi="Tahoma" w:cs="Tahoma"/>
          <w:sz w:val="22"/>
          <w:szCs w:val="22"/>
        </w:rPr>
      </w:pPr>
      <w:r w:rsidRPr="00320965">
        <w:rPr>
          <w:rFonts w:ascii="Tahoma" w:hAnsi="Tahoma" w:cs="Tahoma"/>
          <w:sz w:val="22"/>
          <w:szCs w:val="22"/>
        </w:rPr>
        <w:t>En consecuencia, este Colegiado considera que resultan aplicables al presente caso las disposiciones referidas a la conservación del acto administrativo contenidas en el artículo 14 de la Ley 27444; específicamente el establecido en el numeral 14.2.3, según el cual “</w:t>
      </w:r>
      <w:r w:rsidRPr="00320965">
        <w:rPr>
          <w:rFonts w:ascii="Tahoma" w:hAnsi="Tahoma" w:cs="Tahoma"/>
          <w:i/>
          <w:sz w:val="22"/>
          <w:szCs w:val="22"/>
        </w:rPr>
        <w:t>el acto emitido con infracción a las formalidades no esenciales del procedimiento, considerando como tales aquéllas cuya realización correcta no hubiera impedido o cambiado el sentido de la decisión final en aspectos importantes, o cuyo incumplimiento no afectare el debido proceso del administrado</w:t>
      </w:r>
      <w:r w:rsidRPr="00320965">
        <w:rPr>
          <w:rFonts w:ascii="Tahoma" w:hAnsi="Tahoma" w:cs="Tahoma"/>
          <w:sz w:val="22"/>
          <w:szCs w:val="22"/>
        </w:rPr>
        <w:t xml:space="preserve">”. </w:t>
      </w:r>
      <w:r w:rsidRPr="00320965">
        <w:rPr>
          <w:rFonts w:ascii="Tahoma" w:hAnsi="Tahoma" w:cs="Tahoma"/>
          <w:b/>
          <w:sz w:val="22"/>
          <w:szCs w:val="22"/>
        </w:rPr>
        <w:t xml:space="preserve"> </w:t>
      </w:r>
    </w:p>
    <w:p w:rsidR="009613E2" w:rsidRPr="00320965" w:rsidRDefault="009613E2" w:rsidP="009613E2">
      <w:pPr>
        <w:jc w:val="both"/>
        <w:rPr>
          <w:rFonts w:ascii="Tahoma" w:hAnsi="Tahoma" w:cs="Tahoma"/>
          <w:sz w:val="22"/>
          <w:szCs w:val="22"/>
        </w:rPr>
      </w:pPr>
    </w:p>
    <w:p w:rsidR="009613E2" w:rsidRPr="00C10F49" w:rsidRDefault="009613E2" w:rsidP="009613E2">
      <w:pPr>
        <w:numPr>
          <w:ilvl w:val="0"/>
          <w:numId w:val="10"/>
        </w:numPr>
        <w:tabs>
          <w:tab w:val="num" w:pos="567"/>
        </w:tabs>
        <w:ind w:left="567" w:hanging="567"/>
        <w:jc w:val="both"/>
        <w:rPr>
          <w:rFonts w:ascii="Tahoma" w:hAnsi="Tahoma" w:cs="Tahoma"/>
          <w:sz w:val="22"/>
          <w:szCs w:val="22"/>
        </w:rPr>
      </w:pPr>
      <w:r w:rsidRPr="00320965">
        <w:rPr>
          <w:rFonts w:ascii="Tahoma" w:hAnsi="Tahoma" w:cs="Tahoma"/>
          <w:b/>
          <w:sz w:val="22"/>
          <w:szCs w:val="22"/>
          <w:u w:val="single"/>
        </w:rPr>
        <w:t>Segundo Punto</w:t>
      </w:r>
      <w:r w:rsidR="00C10F49">
        <w:rPr>
          <w:rFonts w:ascii="Tahoma" w:hAnsi="Tahoma" w:cs="Tahoma"/>
          <w:sz w:val="22"/>
          <w:szCs w:val="22"/>
        </w:rPr>
        <w:t>:</w:t>
      </w:r>
    </w:p>
    <w:p w:rsidR="009613E2" w:rsidRPr="00320965" w:rsidRDefault="009613E2" w:rsidP="009613E2">
      <w:pPr>
        <w:ind w:left="567"/>
        <w:jc w:val="both"/>
        <w:rPr>
          <w:rFonts w:ascii="Tahoma" w:hAnsi="Tahoma" w:cs="Tahoma"/>
          <w:sz w:val="22"/>
          <w:szCs w:val="22"/>
        </w:rPr>
      </w:pPr>
      <w:r w:rsidRPr="00320965">
        <w:rPr>
          <w:rFonts w:ascii="Tahoma" w:hAnsi="Tahoma" w:cs="Tahoma"/>
          <w:noProof/>
          <w:sz w:val="22"/>
          <w:szCs w:val="22"/>
        </w:rPr>
        <w:lastRenderedPageBreak/>
        <w:drawing>
          <wp:inline distT="0" distB="0" distL="0" distR="0">
            <wp:extent cx="5400040" cy="4039870"/>
            <wp:effectExtent l="19050" t="0" r="0" b="0"/>
            <wp:docPr id="5" name="4 Imagen" descr="Dibuj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bujo 1.JPG"/>
                    <pic:cNvPicPr/>
                  </pic:nvPicPr>
                  <pic:blipFill>
                    <a:blip r:embed="rId9"/>
                    <a:stretch>
                      <a:fillRect/>
                    </a:stretch>
                  </pic:blipFill>
                  <pic:spPr>
                    <a:xfrm>
                      <a:off x="0" y="0"/>
                      <a:ext cx="5400040" cy="4039870"/>
                    </a:xfrm>
                    <a:prstGeom prst="rect">
                      <a:avLst/>
                    </a:prstGeom>
                  </pic:spPr>
                </pic:pic>
              </a:graphicData>
            </a:graphic>
          </wp:inline>
        </w:drawing>
      </w:r>
    </w:p>
    <w:p w:rsidR="009613E2" w:rsidRPr="00320965" w:rsidRDefault="009613E2" w:rsidP="009613E2">
      <w:pPr>
        <w:pStyle w:val="Prrafodelista"/>
        <w:ind w:left="567"/>
        <w:jc w:val="both"/>
        <w:rPr>
          <w:rFonts w:ascii="Tahoma" w:hAnsi="Tahoma" w:cs="Tahoma"/>
          <w:sz w:val="22"/>
          <w:szCs w:val="22"/>
        </w:rPr>
      </w:pPr>
    </w:p>
    <w:p w:rsidR="009613E2" w:rsidRPr="00320965" w:rsidRDefault="009613E2" w:rsidP="009613E2">
      <w:pPr>
        <w:pStyle w:val="Prrafodelista"/>
        <w:rPr>
          <w:rFonts w:ascii="Tahoma" w:hAnsi="Tahoma" w:cs="Tahoma"/>
          <w:sz w:val="22"/>
          <w:szCs w:val="22"/>
        </w:rPr>
      </w:pPr>
    </w:p>
    <w:p w:rsidR="009613E2" w:rsidRPr="00320965" w:rsidRDefault="009613E2" w:rsidP="009613E2">
      <w:pPr>
        <w:pStyle w:val="Prrafodelista"/>
        <w:ind w:left="567"/>
        <w:jc w:val="both"/>
        <w:rPr>
          <w:rFonts w:ascii="Tahoma" w:hAnsi="Tahoma" w:cs="Tahoma"/>
          <w:sz w:val="22"/>
          <w:szCs w:val="22"/>
        </w:rPr>
      </w:pPr>
      <w:r w:rsidRPr="00320965">
        <w:rPr>
          <w:rFonts w:ascii="Tahoma" w:hAnsi="Tahoma" w:cs="Tahoma"/>
          <w:noProof/>
          <w:sz w:val="22"/>
          <w:szCs w:val="22"/>
          <w:lang w:val="es-ES"/>
        </w:rPr>
        <w:drawing>
          <wp:inline distT="0" distB="0" distL="0" distR="0">
            <wp:extent cx="5086350" cy="1962150"/>
            <wp:effectExtent l="19050" t="0" r="0" b="0"/>
            <wp:docPr id="6" name="5 Imagen" descr="Dibuj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bujo 2.JPG"/>
                    <pic:cNvPicPr/>
                  </pic:nvPicPr>
                  <pic:blipFill>
                    <a:blip r:embed="rId10"/>
                    <a:stretch>
                      <a:fillRect/>
                    </a:stretch>
                  </pic:blipFill>
                  <pic:spPr>
                    <a:xfrm>
                      <a:off x="0" y="0"/>
                      <a:ext cx="5086350" cy="1962150"/>
                    </a:xfrm>
                    <a:prstGeom prst="rect">
                      <a:avLst/>
                    </a:prstGeom>
                  </pic:spPr>
                </pic:pic>
              </a:graphicData>
            </a:graphic>
          </wp:inline>
        </w:drawing>
      </w:r>
    </w:p>
    <w:p w:rsidR="009613E2" w:rsidRPr="00320965" w:rsidRDefault="009613E2" w:rsidP="009613E2">
      <w:pPr>
        <w:pStyle w:val="Prrafodelista"/>
        <w:ind w:left="567"/>
        <w:jc w:val="both"/>
        <w:rPr>
          <w:rFonts w:ascii="Tahoma" w:hAnsi="Tahoma" w:cs="Tahoma"/>
          <w:sz w:val="22"/>
          <w:szCs w:val="22"/>
        </w:rPr>
      </w:pPr>
    </w:p>
    <w:p w:rsidR="009613E2" w:rsidRPr="00320965" w:rsidRDefault="009613E2" w:rsidP="009613E2">
      <w:pPr>
        <w:pStyle w:val="Prrafodelista"/>
        <w:widowControl/>
        <w:numPr>
          <w:ilvl w:val="0"/>
          <w:numId w:val="10"/>
        </w:numPr>
        <w:suppressAutoHyphens w:val="0"/>
        <w:ind w:left="567" w:hanging="567"/>
        <w:jc w:val="both"/>
        <w:rPr>
          <w:rFonts w:ascii="Tahoma" w:hAnsi="Tahoma" w:cs="Tahoma"/>
          <w:sz w:val="22"/>
          <w:szCs w:val="22"/>
        </w:rPr>
      </w:pPr>
      <w:r w:rsidRPr="00320965">
        <w:rPr>
          <w:rFonts w:ascii="Tahoma" w:hAnsi="Tahoma" w:cs="Tahoma"/>
          <w:sz w:val="22"/>
          <w:szCs w:val="22"/>
        </w:rPr>
        <w:t xml:space="preserve">En el segundo punto, según lo expuesto en la Resolución, hubo un vicio de nulidad referente al hecho de haber registrado en el SEACE, fechas diferentes del cronograma del proceso de selección, a las consignadas en las Bases Administrativas, tal como se aprecia en el cuadro anterior. </w:t>
      </w:r>
    </w:p>
    <w:p w:rsidR="009613E2" w:rsidRPr="00320965" w:rsidRDefault="009613E2" w:rsidP="009613E2">
      <w:pPr>
        <w:pStyle w:val="Prrafodelista"/>
        <w:ind w:left="567"/>
        <w:jc w:val="both"/>
        <w:rPr>
          <w:rFonts w:ascii="Tahoma" w:hAnsi="Tahoma" w:cs="Tahoma"/>
          <w:sz w:val="22"/>
          <w:szCs w:val="22"/>
        </w:rPr>
      </w:pPr>
    </w:p>
    <w:p w:rsidR="009613E2" w:rsidRPr="00320965" w:rsidRDefault="009613E2" w:rsidP="009613E2">
      <w:pPr>
        <w:pStyle w:val="Prrafodelista"/>
        <w:widowControl/>
        <w:numPr>
          <w:ilvl w:val="0"/>
          <w:numId w:val="10"/>
        </w:numPr>
        <w:suppressAutoHyphens w:val="0"/>
        <w:ind w:left="567" w:hanging="567"/>
        <w:jc w:val="both"/>
        <w:rPr>
          <w:rFonts w:ascii="Tahoma" w:hAnsi="Tahoma" w:cs="Tahoma"/>
          <w:sz w:val="22"/>
          <w:szCs w:val="22"/>
        </w:rPr>
      </w:pPr>
      <w:r w:rsidRPr="00320965">
        <w:rPr>
          <w:rFonts w:ascii="Tahoma" w:hAnsi="Tahoma" w:cs="Tahoma"/>
          <w:sz w:val="22"/>
          <w:szCs w:val="22"/>
        </w:rPr>
        <w:t xml:space="preserve">De acuerdo a lo registrado en las Bases, el Registro de Participantes debía realizarse entre el 10 al 17 de diciembre y según lo registrado en el SEACE, este </w:t>
      </w:r>
      <w:r w:rsidRPr="00320965">
        <w:rPr>
          <w:rFonts w:ascii="Tahoma" w:hAnsi="Tahoma" w:cs="Tahoma"/>
          <w:sz w:val="22"/>
          <w:szCs w:val="22"/>
        </w:rPr>
        <w:lastRenderedPageBreak/>
        <w:t xml:space="preserve">mismo acto debió realizarse entre el 10 y el 20 de diciembre. Asimismo, las Bases establecen como fecha de integración de Bases el 16 de diciembre sin embargo, dicho acto se realizó el 17 de diciembre según el SEACE. Adicionalmente, los actos de presentación de propuestas, evaluación y otorgamiento de la Buena Pro se llevaría según las Bases el 20 de diciembre, sin embargo, según el SEACE este se realizó el 21 de diciembre. En vista de ello, la Entidad declara la nulidad del proceso, considerando que contraviene la normativa de contrataciones, constituyendo un vicio de nulidad. </w:t>
      </w:r>
    </w:p>
    <w:p w:rsidR="009613E2" w:rsidRPr="00320965" w:rsidRDefault="009613E2" w:rsidP="009613E2">
      <w:pPr>
        <w:pStyle w:val="Prrafodelista"/>
        <w:rPr>
          <w:rFonts w:ascii="Tahoma" w:hAnsi="Tahoma" w:cs="Tahoma"/>
          <w:sz w:val="22"/>
          <w:szCs w:val="22"/>
        </w:rPr>
      </w:pPr>
    </w:p>
    <w:p w:rsidR="009613E2" w:rsidRPr="00320965" w:rsidRDefault="009613E2" w:rsidP="009613E2">
      <w:pPr>
        <w:pStyle w:val="Prrafodelista"/>
        <w:ind w:left="567"/>
        <w:jc w:val="both"/>
        <w:rPr>
          <w:rFonts w:ascii="Tahoma" w:hAnsi="Tahoma" w:cs="Tahoma"/>
          <w:sz w:val="22"/>
          <w:szCs w:val="22"/>
        </w:rPr>
      </w:pPr>
      <w:r w:rsidRPr="00320965">
        <w:rPr>
          <w:rFonts w:ascii="Tahoma" w:hAnsi="Tahoma" w:cs="Tahoma"/>
          <w:sz w:val="22"/>
          <w:szCs w:val="22"/>
        </w:rPr>
        <w:t xml:space="preserve">En ese sentido, debe determinarse si el hecho de consignar de manera diferente el calendario del proceso de selección implica que un proceso deba declararse nulo. </w:t>
      </w:r>
    </w:p>
    <w:p w:rsidR="009613E2" w:rsidRPr="00320965" w:rsidRDefault="009613E2" w:rsidP="009613E2">
      <w:pPr>
        <w:pStyle w:val="Prrafodelista"/>
        <w:ind w:left="567"/>
        <w:jc w:val="both"/>
        <w:rPr>
          <w:rFonts w:ascii="Tahoma" w:hAnsi="Tahoma" w:cs="Tahoma"/>
          <w:sz w:val="22"/>
          <w:szCs w:val="22"/>
        </w:rPr>
      </w:pPr>
    </w:p>
    <w:p w:rsidR="009613E2" w:rsidRPr="00320965" w:rsidRDefault="009613E2" w:rsidP="009613E2">
      <w:pPr>
        <w:pStyle w:val="Prrafodelista"/>
        <w:widowControl/>
        <w:numPr>
          <w:ilvl w:val="0"/>
          <w:numId w:val="10"/>
        </w:numPr>
        <w:suppressAutoHyphens w:val="0"/>
        <w:ind w:left="567" w:hanging="567"/>
        <w:jc w:val="both"/>
        <w:rPr>
          <w:rFonts w:ascii="Tahoma" w:hAnsi="Tahoma" w:cs="Tahoma"/>
          <w:sz w:val="22"/>
          <w:szCs w:val="22"/>
        </w:rPr>
      </w:pPr>
      <w:r w:rsidRPr="00320965">
        <w:rPr>
          <w:rFonts w:ascii="Tahoma" w:hAnsi="Tahoma" w:cs="Tahoma"/>
          <w:sz w:val="22"/>
          <w:szCs w:val="22"/>
        </w:rPr>
        <w:t xml:space="preserve">De manera previa al análisis planteado, y de la revisión del Acta de apertura de Sobres, Evaluación de Propuestas y Otorgamiento de la Buena Pro del mencionado proceso cabe indicar que participaron como postores las siguientes empresas: La Pauca </w:t>
      </w:r>
      <w:r w:rsidR="00C10F49" w:rsidRPr="00320965">
        <w:rPr>
          <w:rFonts w:ascii="Tahoma" w:hAnsi="Tahoma" w:cs="Tahoma"/>
          <w:sz w:val="22"/>
          <w:szCs w:val="22"/>
        </w:rPr>
        <w:t>Construcción</w:t>
      </w:r>
      <w:r w:rsidRPr="00320965">
        <w:rPr>
          <w:rFonts w:ascii="Tahoma" w:hAnsi="Tahoma" w:cs="Tahoma"/>
          <w:sz w:val="22"/>
          <w:szCs w:val="22"/>
        </w:rPr>
        <w:t xml:space="preserve"> y Servicios Generales EIRL, S&amp;G Construcciones y Servicios Generales EIRL, Corporación Brillantina SRL.</w:t>
      </w:r>
    </w:p>
    <w:p w:rsidR="009613E2" w:rsidRPr="00320965" w:rsidRDefault="009613E2" w:rsidP="009613E2">
      <w:pPr>
        <w:pStyle w:val="Prrafodelista"/>
        <w:ind w:left="567"/>
        <w:jc w:val="both"/>
        <w:rPr>
          <w:rFonts w:ascii="Tahoma" w:hAnsi="Tahoma" w:cs="Tahoma"/>
          <w:sz w:val="22"/>
          <w:szCs w:val="22"/>
        </w:rPr>
      </w:pPr>
    </w:p>
    <w:p w:rsidR="009613E2" w:rsidRPr="00320965" w:rsidRDefault="009613E2" w:rsidP="009613E2">
      <w:pPr>
        <w:pStyle w:val="Prrafodelista"/>
        <w:widowControl/>
        <w:numPr>
          <w:ilvl w:val="0"/>
          <w:numId w:val="10"/>
        </w:numPr>
        <w:suppressAutoHyphens w:val="0"/>
        <w:ind w:left="567" w:hanging="567"/>
        <w:jc w:val="both"/>
        <w:rPr>
          <w:rFonts w:ascii="Tahoma" w:hAnsi="Tahoma" w:cs="Tahoma"/>
          <w:sz w:val="22"/>
          <w:szCs w:val="22"/>
        </w:rPr>
      </w:pPr>
      <w:r w:rsidRPr="00320965">
        <w:rPr>
          <w:rFonts w:ascii="Tahoma" w:hAnsi="Tahoma" w:cs="Tahoma"/>
          <w:sz w:val="22"/>
          <w:szCs w:val="22"/>
        </w:rPr>
        <w:t xml:space="preserve">En ese sentido, se observa que a pesar de no haber consistencia en el calendario publicado a través del SEACE y el consignado en las Bases Administrativas, este hecho no afectó la legalidad del proceso de selección y no se limitó la participación de postores al proceso; es decir,  la formalidad invocada por la Entidad, en el cronograma, no ha causado daño o perjuicio a los postores ni mucho menos a la Entidad, y tal como se analizo en el Primer Punto controvertido, por lo que se aprecia que ningún postor se ha visto impedido de participar o de hacer valer sus derechos. </w:t>
      </w:r>
    </w:p>
    <w:p w:rsidR="009613E2" w:rsidRPr="00320965" w:rsidRDefault="009613E2" w:rsidP="009613E2">
      <w:pPr>
        <w:pStyle w:val="Prrafodelista"/>
        <w:rPr>
          <w:rFonts w:ascii="Tahoma" w:hAnsi="Tahoma" w:cs="Tahoma"/>
          <w:sz w:val="22"/>
          <w:szCs w:val="22"/>
        </w:rPr>
      </w:pPr>
    </w:p>
    <w:p w:rsidR="009613E2" w:rsidRPr="00320965" w:rsidRDefault="009613E2" w:rsidP="009613E2">
      <w:pPr>
        <w:pStyle w:val="Prrafodelista"/>
        <w:widowControl/>
        <w:numPr>
          <w:ilvl w:val="0"/>
          <w:numId w:val="10"/>
        </w:numPr>
        <w:suppressAutoHyphens w:val="0"/>
        <w:ind w:left="567" w:hanging="567"/>
        <w:jc w:val="both"/>
        <w:rPr>
          <w:rFonts w:ascii="Tahoma" w:hAnsi="Tahoma" w:cs="Tahoma"/>
          <w:sz w:val="22"/>
          <w:szCs w:val="22"/>
        </w:rPr>
      </w:pPr>
      <w:r w:rsidRPr="00320965">
        <w:rPr>
          <w:rFonts w:ascii="Tahoma" w:hAnsi="Tahoma" w:cs="Tahoma"/>
          <w:sz w:val="22"/>
          <w:szCs w:val="22"/>
        </w:rPr>
        <w:t>En ese sentido, el vicio en el que se ha incurrido está referido a una transgresión de una formalidad no grave, resultando inútil retrotraer el proceso de selección a fin de que únicamente se registre la modificación del  cronograma en el SEACE. Nuevamente, avalar ese tipo de decisiones implicaría que este Tribunal se someta al yugo de la formalidad insensible e ineficiente, que impida que las decisiones de la Administración Pública denoten criterios de razonabilidad y proporcionalidad.</w:t>
      </w:r>
    </w:p>
    <w:p w:rsidR="009613E2" w:rsidRPr="00320965" w:rsidRDefault="009613E2" w:rsidP="009613E2">
      <w:pPr>
        <w:pStyle w:val="Prrafodelista"/>
        <w:rPr>
          <w:rFonts w:ascii="Tahoma" w:hAnsi="Tahoma" w:cs="Tahoma"/>
          <w:sz w:val="22"/>
          <w:szCs w:val="22"/>
        </w:rPr>
      </w:pPr>
    </w:p>
    <w:p w:rsidR="009613E2" w:rsidRPr="00320965" w:rsidRDefault="009613E2" w:rsidP="009613E2">
      <w:pPr>
        <w:pStyle w:val="Prrafodelista"/>
        <w:widowControl/>
        <w:numPr>
          <w:ilvl w:val="0"/>
          <w:numId w:val="10"/>
        </w:numPr>
        <w:suppressAutoHyphens w:val="0"/>
        <w:ind w:left="567" w:hanging="567"/>
        <w:jc w:val="both"/>
        <w:rPr>
          <w:rFonts w:ascii="Tahoma" w:hAnsi="Tahoma" w:cs="Tahoma"/>
          <w:sz w:val="22"/>
          <w:szCs w:val="22"/>
        </w:rPr>
      </w:pPr>
      <w:r w:rsidRPr="00320965">
        <w:rPr>
          <w:rFonts w:ascii="Tahoma" w:hAnsi="Tahoma" w:cs="Tahoma"/>
          <w:sz w:val="22"/>
          <w:szCs w:val="22"/>
        </w:rPr>
        <w:t>En consecuencia, este Colegiado considera que en el presente caso también resulta aplicables al caso las disposiciones referidas a la conservación del acto administrativo contenidas en el artículo 14 de la Ley 27444; específicamente el establecido en el numeral 14.2.3, según el cual “</w:t>
      </w:r>
      <w:r w:rsidRPr="00320965">
        <w:rPr>
          <w:rFonts w:ascii="Tahoma" w:hAnsi="Tahoma" w:cs="Tahoma"/>
          <w:i/>
          <w:sz w:val="22"/>
          <w:szCs w:val="22"/>
        </w:rPr>
        <w:t>el acto emitido con infracción a las formalidades no esenciales del procedimiento, considerando como tales aquéllas cuya realización correcta no hubiera impedido o cambiado el sentido de la decisión final en aspectos importantes, o cuyo incumplimiento no afectare el debido proceso del administrado</w:t>
      </w:r>
      <w:r w:rsidRPr="00320965">
        <w:rPr>
          <w:rFonts w:ascii="Tahoma" w:hAnsi="Tahoma" w:cs="Tahoma"/>
          <w:sz w:val="22"/>
          <w:szCs w:val="22"/>
        </w:rPr>
        <w:t>”.</w:t>
      </w:r>
    </w:p>
    <w:p w:rsidR="009613E2" w:rsidRPr="00320965" w:rsidRDefault="009613E2" w:rsidP="009613E2">
      <w:pPr>
        <w:pStyle w:val="Prrafodelista"/>
        <w:rPr>
          <w:rFonts w:ascii="Tahoma" w:hAnsi="Tahoma" w:cs="Tahoma"/>
          <w:sz w:val="22"/>
          <w:szCs w:val="22"/>
        </w:rPr>
      </w:pPr>
    </w:p>
    <w:p w:rsidR="009613E2" w:rsidRPr="00320965" w:rsidRDefault="009613E2" w:rsidP="009613E2">
      <w:pPr>
        <w:pStyle w:val="Prrafodelista"/>
        <w:ind w:left="426"/>
        <w:jc w:val="both"/>
        <w:rPr>
          <w:rFonts w:ascii="Tahoma" w:hAnsi="Tahoma" w:cs="Tahoma"/>
          <w:sz w:val="22"/>
          <w:szCs w:val="22"/>
        </w:rPr>
      </w:pPr>
    </w:p>
    <w:p w:rsidR="009613E2" w:rsidRPr="00320965" w:rsidRDefault="009613E2" w:rsidP="009613E2">
      <w:pPr>
        <w:pStyle w:val="Prrafodelista"/>
        <w:widowControl/>
        <w:numPr>
          <w:ilvl w:val="0"/>
          <w:numId w:val="10"/>
        </w:numPr>
        <w:suppressAutoHyphens w:val="0"/>
        <w:ind w:left="567" w:hanging="567"/>
        <w:jc w:val="both"/>
        <w:rPr>
          <w:rFonts w:ascii="Tahoma" w:hAnsi="Tahoma" w:cs="Tahoma"/>
          <w:sz w:val="22"/>
          <w:szCs w:val="22"/>
        </w:rPr>
      </w:pPr>
      <w:r w:rsidRPr="00320965">
        <w:rPr>
          <w:rFonts w:ascii="Tahoma" w:hAnsi="Tahoma" w:cs="Tahoma"/>
          <w:b/>
          <w:sz w:val="22"/>
          <w:szCs w:val="22"/>
          <w:u w:val="single"/>
        </w:rPr>
        <w:t>Tercer  Punto:</w:t>
      </w:r>
    </w:p>
    <w:p w:rsidR="009613E2" w:rsidRPr="00320965" w:rsidRDefault="009613E2" w:rsidP="009613E2">
      <w:pPr>
        <w:jc w:val="both"/>
        <w:rPr>
          <w:rFonts w:ascii="Tahoma" w:hAnsi="Tahoma" w:cs="Tahoma"/>
          <w:sz w:val="22"/>
          <w:szCs w:val="22"/>
        </w:rPr>
      </w:pPr>
    </w:p>
    <w:p w:rsidR="009613E2" w:rsidRPr="00320965" w:rsidRDefault="009613E2" w:rsidP="009613E2">
      <w:pPr>
        <w:pStyle w:val="Prrafodelista"/>
        <w:ind w:left="567"/>
        <w:jc w:val="both"/>
        <w:rPr>
          <w:rFonts w:ascii="Tahoma" w:hAnsi="Tahoma" w:cs="Tahoma"/>
          <w:sz w:val="22"/>
          <w:szCs w:val="22"/>
        </w:rPr>
      </w:pPr>
      <w:r w:rsidRPr="00320965">
        <w:rPr>
          <w:rFonts w:ascii="Tahoma" w:hAnsi="Tahoma" w:cs="Tahoma"/>
          <w:noProof/>
          <w:sz w:val="22"/>
          <w:szCs w:val="22"/>
          <w:lang w:val="es-ES"/>
        </w:rPr>
        <w:drawing>
          <wp:inline distT="0" distB="0" distL="0" distR="0">
            <wp:extent cx="5400040" cy="2428240"/>
            <wp:effectExtent l="19050" t="0" r="0" b="0"/>
            <wp:docPr id="7" name="6 Imagen" descr="Dibuj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bujo 1.JPG"/>
                    <pic:cNvPicPr/>
                  </pic:nvPicPr>
                  <pic:blipFill>
                    <a:blip r:embed="rId11"/>
                    <a:stretch>
                      <a:fillRect/>
                    </a:stretch>
                  </pic:blipFill>
                  <pic:spPr>
                    <a:xfrm>
                      <a:off x="0" y="0"/>
                      <a:ext cx="5400040" cy="2428240"/>
                    </a:xfrm>
                    <a:prstGeom prst="rect">
                      <a:avLst/>
                    </a:prstGeom>
                  </pic:spPr>
                </pic:pic>
              </a:graphicData>
            </a:graphic>
          </wp:inline>
        </w:drawing>
      </w:r>
    </w:p>
    <w:p w:rsidR="009613E2" w:rsidRPr="00320965" w:rsidRDefault="009613E2" w:rsidP="009613E2">
      <w:pPr>
        <w:pStyle w:val="Prrafodelista"/>
        <w:rPr>
          <w:rFonts w:ascii="Tahoma" w:hAnsi="Tahoma" w:cs="Tahoma"/>
          <w:sz w:val="22"/>
          <w:szCs w:val="22"/>
        </w:rPr>
      </w:pPr>
    </w:p>
    <w:p w:rsidR="009613E2" w:rsidRPr="00320965" w:rsidRDefault="009613E2" w:rsidP="009613E2">
      <w:pPr>
        <w:numPr>
          <w:ilvl w:val="0"/>
          <w:numId w:val="10"/>
        </w:numPr>
        <w:tabs>
          <w:tab w:val="num" w:pos="567"/>
        </w:tabs>
        <w:ind w:left="567" w:hanging="567"/>
        <w:jc w:val="both"/>
        <w:rPr>
          <w:rFonts w:ascii="Tahoma" w:hAnsi="Tahoma" w:cs="Tahoma"/>
          <w:sz w:val="22"/>
          <w:szCs w:val="22"/>
        </w:rPr>
      </w:pPr>
      <w:r w:rsidRPr="00320965">
        <w:rPr>
          <w:rFonts w:ascii="Tahoma" w:hAnsi="Tahoma" w:cs="Tahoma"/>
          <w:sz w:val="22"/>
          <w:szCs w:val="22"/>
        </w:rPr>
        <w:t>Al respecto, la Entidad señala que las Bases no han establecido los lineamientos que deben contener los documentos que presentarían los postores para acreditar el cumplimiento de los requerimientos técnicos mínimos, específicamente en los que respecta al Ing. Residente de Obra y del equipo maquinara para la ejecución de la Obra. Por lo tanto, señala que contraviene el Principio de Transparencia que rigen las Contrataciones del Estado.</w:t>
      </w:r>
    </w:p>
    <w:p w:rsidR="009613E2" w:rsidRPr="00320965" w:rsidRDefault="009613E2" w:rsidP="009613E2">
      <w:pPr>
        <w:jc w:val="both"/>
        <w:rPr>
          <w:rFonts w:ascii="Tahoma" w:hAnsi="Tahoma" w:cs="Tahoma"/>
          <w:sz w:val="22"/>
          <w:szCs w:val="22"/>
        </w:rPr>
      </w:pPr>
    </w:p>
    <w:p w:rsidR="009613E2" w:rsidRPr="00320965" w:rsidRDefault="009613E2" w:rsidP="009613E2">
      <w:pPr>
        <w:numPr>
          <w:ilvl w:val="0"/>
          <w:numId w:val="10"/>
        </w:numPr>
        <w:tabs>
          <w:tab w:val="num" w:pos="567"/>
        </w:tabs>
        <w:ind w:left="567" w:hanging="567"/>
        <w:jc w:val="both"/>
        <w:rPr>
          <w:rFonts w:ascii="Tahoma" w:hAnsi="Tahoma" w:cs="Tahoma"/>
          <w:sz w:val="22"/>
          <w:szCs w:val="22"/>
        </w:rPr>
      </w:pPr>
      <w:r w:rsidRPr="00320965">
        <w:rPr>
          <w:rFonts w:ascii="Tahoma" w:hAnsi="Tahoma" w:cs="Tahoma"/>
          <w:sz w:val="22"/>
          <w:szCs w:val="22"/>
        </w:rPr>
        <w:t>Sobre el particular, debemos remitirnos a lo establecido por las Bases Administrativas a fin de determinar si efectivamente tal como señala la Entidad, no se han establecido ¿qué? ¿cuántos? y ¿Cómo? deben ser los documentos que presentarían los postores para acreditar el cumplimiento de los requerimientos técnicos mínimos respecto del residente de obra y la maquinaria.</w:t>
      </w:r>
    </w:p>
    <w:p w:rsidR="009613E2" w:rsidRPr="00320965" w:rsidRDefault="009613E2" w:rsidP="009613E2">
      <w:pPr>
        <w:pStyle w:val="Prrafodelista"/>
        <w:rPr>
          <w:rFonts w:ascii="Tahoma" w:hAnsi="Tahoma" w:cs="Tahoma"/>
          <w:sz w:val="22"/>
          <w:szCs w:val="22"/>
        </w:rPr>
      </w:pPr>
    </w:p>
    <w:p w:rsidR="009613E2" w:rsidRPr="00320965" w:rsidRDefault="009613E2" w:rsidP="009613E2">
      <w:pPr>
        <w:numPr>
          <w:ilvl w:val="0"/>
          <w:numId w:val="10"/>
        </w:numPr>
        <w:tabs>
          <w:tab w:val="num" w:pos="567"/>
        </w:tabs>
        <w:ind w:left="567" w:hanging="567"/>
        <w:jc w:val="both"/>
        <w:rPr>
          <w:rFonts w:ascii="Tahoma" w:hAnsi="Tahoma" w:cs="Tahoma"/>
          <w:sz w:val="22"/>
          <w:szCs w:val="22"/>
        </w:rPr>
      </w:pPr>
      <w:r w:rsidRPr="00320965">
        <w:rPr>
          <w:rFonts w:ascii="Tahoma" w:hAnsi="Tahoma" w:cs="Tahoma"/>
          <w:sz w:val="22"/>
          <w:szCs w:val="22"/>
        </w:rPr>
        <w:t>Obra en el folio 052 del expediente copia de las Bases Administrativas en cuyo capítulo III, numeral 2) literal a) dice respecto del Residente de Obra:</w:t>
      </w:r>
    </w:p>
    <w:p w:rsidR="009613E2" w:rsidRPr="00320965" w:rsidRDefault="009613E2" w:rsidP="009613E2">
      <w:pPr>
        <w:pStyle w:val="Prrafodelista"/>
        <w:rPr>
          <w:rFonts w:ascii="Tahoma" w:hAnsi="Tahoma" w:cs="Tahoma"/>
          <w:sz w:val="22"/>
          <w:szCs w:val="22"/>
        </w:rPr>
      </w:pPr>
    </w:p>
    <w:p w:rsidR="009613E2" w:rsidRPr="00320965" w:rsidRDefault="009613E2" w:rsidP="009613E2">
      <w:pPr>
        <w:pStyle w:val="Prrafodelista"/>
        <w:widowControl/>
        <w:numPr>
          <w:ilvl w:val="0"/>
          <w:numId w:val="11"/>
        </w:numPr>
        <w:suppressAutoHyphens w:val="0"/>
        <w:jc w:val="both"/>
        <w:rPr>
          <w:rFonts w:ascii="Tahoma" w:hAnsi="Tahoma" w:cs="Tahoma"/>
          <w:b/>
          <w:i/>
          <w:sz w:val="22"/>
          <w:szCs w:val="22"/>
        </w:rPr>
      </w:pPr>
      <w:r w:rsidRPr="00320965">
        <w:rPr>
          <w:rFonts w:ascii="Tahoma" w:hAnsi="Tahoma" w:cs="Tahoma"/>
          <w:b/>
          <w:i/>
          <w:sz w:val="22"/>
          <w:szCs w:val="22"/>
        </w:rPr>
        <w:t>“Personal Profesional</w:t>
      </w:r>
    </w:p>
    <w:p w:rsidR="009613E2" w:rsidRPr="00320965" w:rsidRDefault="009613E2" w:rsidP="009613E2">
      <w:pPr>
        <w:pStyle w:val="Prrafodelista"/>
        <w:ind w:left="927"/>
        <w:jc w:val="both"/>
        <w:rPr>
          <w:rFonts w:ascii="Tahoma" w:hAnsi="Tahoma" w:cs="Tahoma"/>
          <w:b/>
          <w:i/>
          <w:sz w:val="22"/>
          <w:szCs w:val="22"/>
        </w:rPr>
      </w:pPr>
    </w:p>
    <w:p w:rsidR="009613E2" w:rsidRDefault="009613E2" w:rsidP="00320965">
      <w:pPr>
        <w:pStyle w:val="Prrafodelista"/>
        <w:ind w:left="927"/>
        <w:jc w:val="both"/>
        <w:rPr>
          <w:rFonts w:ascii="Tahoma" w:hAnsi="Tahoma" w:cs="Tahoma"/>
          <w:i/>
          <w:sz w:val="22"/>
          <w:szCs w:val="22"/>
        </w:rPr>
      </w:pPr>
      <w:r w:rsidRPr="00320965">
        <w:rPr>
          <w:rFonts w:ascii="Tahoma" w:hAnsi="Tahoma" w:cs="Tahoma"/>
          <w:i/>
          <w:sz w:val="22"/>
          <w:szCs w:val="22"/>
        </w:rPr>
        <w:t xml:space="preserve">Un (1) Residente de Obra de profesión Ingeniero Civil Colegiado y Habilitado, con experiencia mínima de 03 años como Residente o Supervisor en obras, </w:t>
      </w:r>
      <w:r w:rsidRPr="00320965">
        <w:rPr>
          <w:rFonts w:ascii="Tahoma" w:hAnsi="Tahoma" w:cs="Tahoma"/>
          <w:b/>
          <w:i/>
          <w:sz w:val="22"/>
          <w:szCs w:val="22"/>
        </w:rPr>
        <w:t>Formato Nº 04</w:t>
      </w:r>
      <w:r w:rsidRPr="00320965">
        <w:rPr>
          <w:rFonts w:ascii="Tahoma" w:hAnsi="Tahoma" w:cs="Tahoma"/>
          <w:i/>
          <w:sz w:val="22"/>
          <w:szCs w:val="22"/>
        </w:rPr>
        <w:t>, acreditados mediante Contratos y Actas de Recepción o Terminación de Obra.”</w:t>
      </w:r>
    </w:p>
    <w:p w:rsidR="00C10F49" w:rsidRDefault="00C10F49" w:rsidP="00320965">
      <w:pPr>
        <w:pStyle w:val="Prrafodelista"/>
        <w:ind w:left="927"/>
        <w:jc w:val="both"/>
        <w:rPr>
          <w:rFonts w:ascii="Tahoma" w:hAnsi="Tahoma" w:cs="Tahoma"/>
          <w:i/>
          <w:sz w:val="22"/>
          <w:szCs w:val="22"/>
        </w:rPr>
      </w:pPr>
    </w:p>
    <w:p w:rsidR="00C10F49" w:rsidRDefault="00C10F49" w:rsidP="00320965">
      <w:pPr>
        <w:pStyle w:val="Prrafodelista"/>
        <w:ind w:left="927"/>
        <w:jc w:val="both"/>
        <w:rPr>
          <w:rFonts w:ascii="Tahoma" w:hAnsi="Tahoma" w:cs="Tahoma"/>
          <w:i/>
          <w:sz w:val="22"/>
          <w:szCs w:val="22"/>
        </w:rPr>
      </w:pPr>
    </w:p>
    <w:p w:rsidR="00C10F49" w:rsidRDefault="00C10F49" w:rsidP="00320965">
      <w:pPr>
        <w:pStyle w:val="Prrafodelista"/>
        <w:ind w:left="927"/>
        <w:jc w:val="both"/>
        <w:rPr>
          <w:rFonts w:ascii="Tahoma" w:hAnsi="Tahoma" w:cs="Tahoma"/>
          <w:i/>
          <w:sz w:val="22"/>
          <w:szCs w:val="22"/>
        </w:rPr>
      </w:pPr>
    </w:p>
    <w:p w:rsidR="00C10F49" w:rsidRDefault="00C10F49" w:rsidP="00320965">
      <w:pPr>
        <w:pStyle w:val="Prrafodelista"/>
        <w:ind w:left="927"/>
        <w:jc w:val="both"/>
        <w:rPr>
          <w:rFonts w:ascii="Tahoma" w:hAnsi="Tahoma" w:cs="Tahoma"/>
          <w:i/>
          <w:sz w:val="22"/>
          <w:szCs w:val="22"/>
        </w:rPr>
      </w:pPr>
    </w:p>
    <w:p w:rsidR="00C10F49" w:rsidRPr="00320965" w:rsidRDefault="00C10F49" w:rsidP="00320965">
      <w:pPr>
        <w:pStyle w:val="Prrafodelista"/>
        <w:ind w:left="927"/>
        <w:jc w:val="both"/>
        <w:rPr>
          <w:rFonts w:ascii="Tahoma" w:hAnsi="Tahoma" w:cs="Tahoma"/>
          <w:i/>
          <w:sz w:val="22"/>
          <w:szCs w:val="22"/>
        </w:rPr>
      </w:pPr>
    </w:p>
    <w:p w:rsidR="009613E2" w:rsidRPr="00320965" w:rsidRDefault="004F189A" w:rsidP="009613E2">
      <w:pPr>
        <w:ind w:left="567"/>
        <w:jc w:val="both"/>
        <w:rPr>
          <w:rFonts w:ascii="Tahoma" w:hAnsi="Tahoma" w:cs="Tahoma"/>
          <w:sz w:val="22"/>
          <w:szCs w:val="22"/>
        </w:rPr>
      </w:pPr>
      <w:r>
        <w:rPr>
          <w:rFonts w:ascii="Tahoma" w:hAnsi="Tahoma" w:cs="Tahoma"/>
          <w:noProof/>
          <w:sz w:val="22"/>
          <w:szCs w:val="22"/>
          <w:lang w:eastAsia="en-US"/>
        </w:rPr>
        <w:lastRenderedPageBreak/>
        <w:pict>
          <v:shapetype id="_x0000_t202" coordsize="21600,21600" o:spt="202" path="m,l,21600r21600,l21600,xe">
            <v:stroke joinstyle="miter"/>
            <v:path gradientshapeok="t" o:connecttype="rect"/>
          </v:shapetype>
          <v:shape id="_x0000_s1026" type="#_x0000_t202" style="position:absolute;left:0;text-align:left;margin-left:53.15pt;margin-top:3.85pt;width:370.25pt;height:620.55pt;z-index:251658240;mso-width-relative:margin;mso-height-relative:margin">
            <v:textbox>
              <w:txbxContent>
                <w:p w:rsidR="00320965" w:rsidRDefault="00320965" w:rsidP="009613E2">
                  <w:pPr>
                    <w:pStyle w:val="Prrafodelista"/>
                    <w:ind w:left="927"/>
                    <w:jc w:val="center"/>
                    <w:rPr>
                      <w:rFonts w:ascii="Tahoma" w:hAnsi="Tahoma" w:cs="Tahoma"/>
                      <w:b/>
                      <w:sz w:val="22"/>
                      <w:szCs w:val="22"/>
                    </w:rPr>
                  </w:pPr>
                  <w:r w:rsidRPr="0048767A">
                    <w:rPr>
                      <w:rFonts w:ascii="Tahoma" w:hAnsi="Tahoma" w:cs="Tahoma"/>
                      <w:b/>
                      <w:sz w:val="22"/>
                      <w:szCs w:val="22"/>
                    </w:rPr>
                    <w:t>Formato Nº 04</w:t>
                  </w:r>
                </w:p>
                <w:p w:rsidR="00320965" w:rsidRDefault="00320965" w:rsidP="009613E2">
                  <w:pPr>
                    <w:pStyle w:val="Prrafodelista"/>
                    <w:ind w:left="927"/>
                    <w:jc w:val="both"/>
                    <w:rPr>
                      <w:rFonts w:ascii="Tahoma" w:hAnsi="Tahoma" w:cs="Tahoma"/>
                      <w:b/>
                      <w:sz w:val="22"/>
                      <w:szCs w:val="22"/>
                    </w:rPr>
                  </w:pPr>
                </w:p>
                <w:p w:rsidR="00320965" w:rsidRPr="0048767A" w:rsidRDefault="00320965" w:rsidP="009613E2">
                  <w:pPr>
                    <w:pStyle w:val="Prrafodelista"/>
                    <w:ind w:left="567"/>
                    <w:jc w:val="both"/>
                    <w:rPr>
                      <w:rFonts w:ascii="Tahoma" w:hAnsi="Tahoma" w:cs="Tahoma"/>
                      <w:sz w:val="22"/>
                      <w:szCs w:val="22"/>
                    </w:rPr>
                  </w:pPr>
                  <w:r w:rsidRPr="0048767A">
                    <w:rPr>
                      <w:rFonts w:ascii="Tahoma" w:hAnsi="Tahoma" w:cs="Tahoma"/>
                      <w:sz w:val="22"/>
                      <w:szCs w:val="22"/>
                    </w:rPr>
                    <w:t>Señores:</w:t>
                  </w:r>
                </w:p>
                <w:p w:rsidR="00320965" w:rsidRPr="0048767A" w:rsidRDefault="00320965" w:rsidP="009613E2">
                  <w:pPr>
                    <w:pStyle w:val="Prrafodelista"/>
                    <w:ind w:left="567"/>
                    <w:jc w:val="both"/>
                    <w:rPr>
                      <w:rFonts w:ascii="Tahoma" w:hAnsi="Tahoma" w:cs="Tahoma"/>
                      <w:sz w:val="22"/>
                      <w:szCs w:val="22"/>
                    </w:rPr>
                  </w:pPr>
                  <w:r w:rsidRPr="0048767A">
                    <w:rPr>
                      <w:rFonts w:ascii="Tahoma" w:hAnsi="Tahoma" w:cs="Tahoma"/>
                      <w:sz w:val="22"/>
                      <w:szCs w:val="22"/>
                    </w:rPr>
                    <w:t>COMITÉ ESPECIAL</w:t>
                  </w:r>
                </w:p>
                <w:p w:rsidR="00320965" w:rsidRPr="0048767A" w:rsidRDefault="00320965" w:rsidP="009613E2">
                  <w:pPr>
                    <w:pStyle w:val="Prrafodelista"/>
                    <w:ind w:left="567"/>
                    <w:jc w:val="both"/>
                    <w:rPr>
                      <w:rFonts w:ascii="Tahoma" w:hAnsi="Tahoma" w:cs="Tahoma"/>
                      <w:sz w:val="22"/>
                      <w:szCs w:val="22"/>
                    </w:rPr>
                  </w:pPr>
                  <w:r w:rsidRPr="0048767A">
                    <w:rPr>
                      <w:rFonts w:ascii="Tahoma" w:hAnsi="Tahoma" w:cs="Tahoma"/>
                      <w:sz w:val="22"/>
                      <w:szCs w:val="22"/>
                    </w:rPr>
                    <w:t>ADJUDICACION DE MENOR CUANTIA Nº 022-2010-MPSP/CE DERIVADA DE LA ADJUDICACION DIRECTA SELECTIVA Nº 010-2010 MPSP/CE</w:t>
                  </w:r>
                </w:p>
                <w:p w:rsidR="00320965" w:rsidRPr="0048767A" w:rsidRDefault="00320965" w:rsidP="009613E2">
                  <w:pPr>
                    <w:pStyle w:val="Prrafodelista"/>
                    <w:ind w:left="567"/>
                    <w:jc w:val="both"/>
                    <w:rPr>
                      <w:rFonts w:ascii="Tahoma" w:hAnsi="Tahoma" w:cs="Tahoma"/>
                      <w:sz w:val="22"/>
                      <w:szCs w:val="22"/>
                    </w:rPr>
                  </w:pPr>
                  <w:r w:rsidRPr="0048767A">
                    <w:rPr>
                      <w:rFonts w:ascii="Tahoma" w:hAnsi="Tahoma" w:cs="Tahoma"/>
                      <w:sz w:val="22"/>
                      <w:szCs w:val="22"/>
                    </w:rPr>
                    <w:t>SEGUNDA CONVOCATORIA</w:t>
                  </w:r>
                </w:p>
                <w:p w:rsidR="00320965" w:rsidRDefault="00320965" w:rsidP="009613E2">
                  <w:pPr>
                    <w:pStyle w:val="Prrafodelista"/>
                    <w:ind w:left="567"/>
                    <w:jc w:val="both"/>
                    <w:rPr>
                      <w:rFonts w:ascii="Tahoma" w:hAnsi="Tahoma" w:cs="Tahoma"/>
                      <w:b/>
                      <w:sz w:val="22"/>
                      <w:szCs w:val="22"/>
                    </w:rPr>
                  </w:pPr>
                </w:p>
                <w:p w:rsidR="00320965" w:rsidRDefault="00320965" w:rsidP="009613E2">
                  <w:pPr>
                    <w:pStyle w:val="Prrafodelista"/>
                    <w:ind w:left="567"/>
                    <w:jc w:val="both"/>
                    <w:rPr>
                      <w:rFonts w:ascii="Tahoma" w:hAnsi="Tahoma" w:cs="Tahoma"/>
                      <w:sz w:val="22"/>
                      <w:szCs w:val="22"/>
                    </w:rPr>
                  </w:pPr>
                  <w:r w:rsidRPr="0048767A">
                    <w:rPr>
                      <w:rFonts w:ascii="Tahoma" w:hAnsi="Tahoma" w:cs="Tahoma"/>
                      <w:sz w:val="22"/>
                      <w:szCs w:val="22"/>
                    </w:rPr>
                    <w:t>Presente:</w:t>
                  </w:r>
                </w:p>
                <w:p w:rsidR="00320965" w:rsidRDefault="00320965" w:rsidP="009613E2">
                  <w:pPr>
                    <w:pStyle w:val="Prrafodelista"/>
                    <w:ind w:left="567"/>
                    <w:jc w:val="both"/>
                    <w:rPr>
                      <w:rFonts w:ascii="Tahoma" w:hAnsi="Tahoma" w:cs="Tahoma"/>
                      <w:sz w:val="22"/>
                      <w:szCs w:val="22"/>
                    </w:rPr>
                  </w:pPr>
                  <w:r>
                    <w:rPr>
                      <w:rFonts w:ascii="Tahoma" w:hAnsi="Tahoma" w:cs="Tahoma"/>
                      <w:sz w:val="22"/>
                      <w:szCs w:val="22"/>
                    </w:rPr>
                    <w:t>Por la presente declaramos bajo juramento que el profesional encargado de prestar sus servicios como Residente de Obra………………………………………., materia de la presente convocatoria es el siguiente:</w:t>
                  </w:r>
                </w:p>
                <w:p w:rsidR="00320965" w:rsidRDefault="00320965" w:rsidP="009613E2">
                  <w:pPr>
                    <w:pStyle w:val="Prrafodelista"/>
                    <w:ind w:left="567"/>
                    <w:jc w:val="both"/>
                    <w:rPr>
                      <w:rFonts w:ascii="Tahoma" w:hAnsi="Tahoma" w:cs="Tahoma"/>
                      <w:sz w:val="22"/>
                      <w:szCs w:val="22"/>
                    </w:rPr>
                  </w:pPr>
                </w:p>
                <w:p w:rsidR="00320965" w:rsidRDefault="00320965" w:rsidP="009613E2">
                  <w:pPr>
                    <w:pStyle w:val="Prrafodelista"/>
                    <w:ind w:left="567"/>
                    <w:jc w:val="both"/>
                    <w:rPr>
                      <w:rFonts w:ascii="Tahoma" w:hAnsi="Tahoma" w:cs="Tahoma"/>
                      <w:sz w:val="22"/>
                      <w:szCs w:val="22"/>
                    </w:rPr>
                  </w:pPr>
                  <w:r>
                    <w:rPr>
                      <w:rFonts w:ascii="Tahoma" w:hAnsi="Tahoma" w:cs="Tahoma"/>
                      <w:sz w:val="22"/>
                      <w:szCs w:val="22"/>
                    </w:rPr>
                    <w:t>NOMBRE:………………………………..</w:t>
                  </w:r>
                </w:p>
                <w:p w:rsidR="00320965" w:rsidRDefault="00320965" w:rsidP="009613E2">
                  <w:pPr>
                    <w:pStyle w:val="Prrafodelista"/>
                    <w:ind w:left="567"/>
                    <w:jc w:val="both"/>
                    <w:rPr>
                      <w:rFonts w:ascii="Tahoma" w:hAnsi="Tahoma" w:cs="Tahoma"/>
                      <w:sz w:val="22"/>
                      <w:szCs w:val="22"/>
                    </w:rPr>
                  </w:pPr>
                </w:p>
                <w:p w:rsidR="00320965" w:rsidRPr="00B65546" w:rsidRDefault="00320965" w:rsidP="009613E2">
                  <w:pPr>
                    <w:pStyle w:val="Prrafodelista"/>
                    <w:ind w:left="284"/>
                    <w:jc w:val="both"/>
                    <w:rPr>
                      <w:rFonts w:ascii="Tahoma" w:hAnsi="Tahoma" w:cs="Tahoma"/>
                      <w:b/>
                      <w:sz w:val="22"/>
                      <w:szCs w:val="22"/>
                    </w:rPr>
                  </w:pPr>
                  <w:r w:rsidRPr="00B65546">
                    <w:rPr>
                      <w:rFonts w:ascii="Tahoma" w:hAnsi="Tahoma" w:cs="Tahoma"/>
                      <w:b/>
                      <w:sz w:val="22"/>
                      <w:szCs w:val="22"/>
                    </w:rPr>
                    <w:t>Cargo por Ocupar: Residente de Obra</w:t>
                  </w:r>
                </w:p>
                <w:p w:rsidR="00320965" w:rsidRDefault="00320965" w:rsidP="009613E2">
                  <w:pPr>
                    <w:pStyle w:val="Prrafodelista"/>
                    <w:ind w:left="567"/>
                    <w:jc w:val="both"/>
                    <w:rPr>
                      <w:rFonts w:ascii="Tahoma" w:hAnsi="Tahoma" w:cs="Tahoma"/>
                      <w:sz w:val="22"/>
                      <w:szCs w:val="22"/>
                    </w:rPr>
                  </w:pPr>
                </w:p>
                <w:tbl>
                  <w:tblPr>
                    <w:tblStyle w:val="Tablaconcuadrcula"/>
                    <w:tblW w:w="0" w:type="auto"/>
                    <w:tblInd w:w="405" w:type="dxa"/>
                    <w:tblLook w:val="04A0"/>
                  </w:tblPr>
                  <w:tblGrid>
                    <w:gridCol w:w="697"/>
                    <w:gridCol w:w="1644"/>
                    <w:gridCol w:w="1265"/>
                    <w:gridCol w:w="1068"/>
                    <w:gridCol w:w="854"/>
                    <w:gridCol w:w="862"/>
                  </w:tblGrid>
                  <w:tr w:rsidR="00320965" w:rsidTr="00320965">
                    <w:tc>
                      <w:tcPr>
                        <w:tcW w:w="6390" w:type="dxa"/>
                        <w:gridSpan w:val="6"/>
                      </w:tcPr>
                      <w:p w:rsidR="00320965" w:rsidRDefault="00320965" w:rsidP="00320965">
                        <w:pPr>
                          <w:pStyle w:val="Prrafodelista"/>
                          <w:ind w:left="0"/>
                          <w:jc w:val="center"/>
                          <w:rPr>
                            <w:rFonts w:ascii="Tahoma" w:hAnsi="Tahoma" w:cs="Tahoma"/>
                          </w:rPr>
                        </w:pPr>
                        <w:r>
                          <w:rPr>
                            <w:rFonts w:ascii="Tahoma" w:hAnsi="Tahoma" w:cs="Tahoma"/>
                          </w:rPr>
                          <w:t>1.DATOS DEL PROFESIONAL</w:t>
                        </w:r>
                      </w:p>
                    </w:tc>
                  </w:tr>
                  <w:tr w:rsidR="00320965" w:rsidTr="00320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474"/>
                    </w:trPr>
                    <w:tc>
                      <w:tcPr>
                        <w:tcW w:w="4674" w:type="dxa"/>
                        <w:gridSpan w:val="4"/>
                      </w:tcPr>
                      <w:p w:rsidR="00320965" w:rsidRPr="0048767A" w:rsidRDefault="00320965" w:rsidP="00320965">
                        <w:pPr>
                          <w:pStyle w:val="Prrafodelista"/>
                          <w:ind w:left="108"/>
                          <w:jc w:val="both"/>
                          <w:rPr>
                            <w:rFonts w:ascii="Tahoma" w:hAnsi="Tahoma" w:cs="Tahoma"/>
                          </w:rPr>
                        </w:pPr>
                      </w:p>
                      <w:p w:rsidR="00320965" w:rsidRDefault="00320965" w:rsidP="00320965">
                        <w:pPr>
                          <w:pStyle w:val="Prrafodelista"/>
                          <w:ind w:left="108"/>
                          <w:jc w:val="center"/>
                          <w:rPr>
                            <w:rFonts w:ascii="Tahoma" w:hAnsi="Tahoma" w:cs="Tahoma"/>
                          </w:rPr>
                        </w:pPr>
                        <w:r>
                          <w:rPr>
                            <w:rFonts w:ascii="Tahoma" w:hAnsi="Tahoma" w:cs="Tahoma"/>
                          </w:rPr>
                          <w:t>UNIVERSITARIOS</w:t>
                        </w:r>
                      </w:p>
                    </w:tc>
                    <w:tc>
                      <w:tcPr>
                        <w:tcW w:w="1716" w:type="dxa"/>
                        <w:gridSpan w:val="2"/>
                        <w:shd w:val="clear" w:color="auto" w:fill="auto"/>
                      </w:tcPr>
                      <w:p w:rsidR="00320965" w:rsidRDefault="00320965" w:rsidP="00320965">
                        <w:pPr>
                          <w:spacing w:after="200" w:line="276" w:lineRule="auto"/>
                          <w:jc w:val="center"/>
                          <w:rPr>
                            <w:rFonts w:ascii="Tahoma" w:hAnsi="Tahoma" w:cs="Tahoma"/>
                          </w:rPr>
                        </w:pPr>
                        <w:r>
                          <w:rPr>
                            <w:rFonts w:ascii="Tahoma" w:hAnsi="Tahoma" w:cs="Tahoma"/>
                          </w:rPr>
                          <w:t>COLEGIATURA</w:t>
                        </w:r>
                      </w:p>
                    </w:tc>
                  </w:tr>
                  <w:tr w:rsidR="00320965" w:rsidTr="00320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447"/>
                    </w:trPr>
                    <w:tc>
                      <w:tcPr>
                        <w:tcW w:w="697" w:type="dxa"/>
                      </w:tcPr>
                      <w:p w:rsidR="00320965" w:rsidRDefault="00320965" w:rsidP="00320965">
                        <w:r>
                          <w:t>Nº</w:t>
                        </w:r>
                      </w:p>
                    </w:tc>
                    <w:tc>
                      <w:tcPr>
                        <w:tcW w:w="1644" w:type="dxa"/>
                        <w:tcBorders>
                          <w:bottom w:val="single" w:sz="4" w:space="0" w:color="auto"/>
                        </w:tcBorders>
                        <w:shd w:val="clear" w:color="auto" w:fill="auto"/>
                      </w:tcPr>
                      <w:p w:rsidR="00320965" w:rsidRDefault="00320965">
                        <w:pPr>
                          <w:spacing w:after="200" w:line="276" w:lineRule="auto"/>
                        </w:pPr>
                        <w:r>
                          <w:t>UNIVERSIDAD</w:t>
                        </w:r>
                      </w:p>
                    </w:tc>
                    <w:tc>
                      <w:tcPr>
                        <w:tcW w:w="1265" w:type="dxa"/>
                        <w:tcBorders>
                          <w:bottom w:val="single" w:sz="4" w:space="0" w:color="auto"/>
                        </w:tcBorders>
                        <w:shd w:val="clear" w:color="auto" w:fill="auto"/>
                      </w:tcPr>
                      <w:p w:rsidR="00320965" w:rsidRDefault="00320965">
                        <w:pPr>
                          <w:spacing w:after="200" w:line="276" w:lineRule="auto"/>
                        </w:pPr>
                        <w:r>
                          <w:t>TITULO OBTENIDO</w:t>
                        </w:r>
                      </w:p>
                    </w:tc>
                    <w:tc>
                      <w:tcPr>
                        <w:tcW w:w="1068" w:type="dxa"/>
                        <w:tcBorders>
                          <w:bottom w:val="single" w:sz="4" w:space="0" w:color="auto"/>
                        </w:tcBorders>
                        <w:shd w:val="clear" w:color="auto" w:fill="auto"/>
                      </w:tcPr>
                      <w:p w:rsidR="00320965" w:rsidRDefault="00320965">
                        <w:pPr>
                          <w:spacing w:after="200" w:line="276" w:lineRule="auto"/>
                        </w:pPr>
                        <w:r>
                          <w:t>FECHA DE TITULO</w:t>
                        </w:r>
                      </w:p>
                    </w:tc>
                    <w:tc>
                      <w:tcPr>
                        <w:tcW w:w="854" w:type="dxa"/>
                        <w:tcBorders>
                          <w:bottom w:val="single" w:sz="4" w:space="0" w:color="auto"/>
                        </w:tcBorders>
                        <w:shd w:val="clear" w:color="auto" w:fill="auto"/>
                      </w:tcPr>
                      <w:p w:rsidR="00320965" w:rsidRDefault="00320965">
                        <w:pPr>
                          <w:spacing w:after="200" w:line="276" w:lineRule="auto"/>
                        </w:pPr>
                        <w:r>
                          <w:t>Nº</w:t>
                        </w:r>
                      </w:p>
                    </w:tc>
                    <w:tc>
                      <w:tcPr>
                        <w:tcW w:w="862" w:type="dxa"/>
                        <w:tcBorders>
                          <w:bottom w:val="single" w:sz="4" w:space="0" w:color="auto"/>
                        </w:tcBorders>
                        <w:shd w:val="clear" w:color="auto" w:fill="auto"/>
                      </w:tcPr>
                      <w:p w:rsidR="00320965" w:rsidRDefault="00320965">
                        <w:pPr>
                          <w:spacing w:after="200" w:line="276" w:lineRule="auto"/>
                        </w:pPr>
                        <w:r>
                          <w:t>FECHA</w:t>
                        </w:r>
                      </w:p>
                    </w:tc>
                  </w:tr>
                  <w:tr w:rsidR="00320965" w:rsidTr="00320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295"/>
                    </w:trPr>
                    <w:tc>
                      <w:tcPr>
                        <w:tcW w:w="697" w:type="dxa"/>
                      </w:tcPr>
                      <w:p w:rsidR="00320965" w:rsidRDefault="00320965" w:rsidP="00320965"/>
                    </w:tc>
                    <w:tc>
                      <w:tcPr>
                        <w:tcW w:w="1644" w:type="dxa"/>
                        <w:tcBorders>
                          <w:bottom w:val="single" w:sz="4" w:space="0" w:color="auto"/>
                        </w:tcBorders>
                        <w:shd w:val="clear" w:color="auto" w:fill="auto"/>
                      </w:tcPr>
                      <w:p w:rsidR="00320965" w:rsidRDefault="00320965">
                        <w:pPr>
                          <w:spacing w:after="200" w:line="276" w:lineRule="auto"/>
                        </w:pPr>
                      </w:p>
                    </w:tc>
                    <w:tc>
                      <w:tcPr>
                        <w:tcW w:w="1265" w:type="dxa"/>
                        <w:tcBorders>
                          <w:bottom w:val="single" w:sz="4" w:space="0" w:color="auto"/>
                        </w:tcBorders>
                        <w:shd w:val="clear" w:color="auto" w:fill="auto"/>
                      </w:tcPr>
                      <w:p w:rsidR="00320965" w:rsidRDefault="00320965">
                        <w:pPr>
                          <w:spacing w:after="200" w:line="276" w:lineRule="auto"/>
                        </w:pPr>
                      </w:p>
                    </w:tc>
                    <w:tc>
                      <w:tcPr>
                        <w:tcW w:w="1068" w:type="dxa"/>
                        <w:tcBorders>
                          <w:bottom w:val="single" w:sz="4" w:space="0" w:color="auto"/>
                        </w:tcBorders>
                        <w:shd w:val="clear" w:color="auto" w:fill="auto"/>
                      </w:tcPr>
                      <w:p w:rsidR="00320965" w:rsidRDefault="00320965">
                        <w:pPr>
                          <w:spacing w:after="200" w:line="276" w:lineRule="auto"/>
                        </w:pPr>
                      </w:p>
                    </w:tc>
                    <w:tc>
                      <w:tcPr>
                        <w:tcW w:w="854" w:type="dxa"/>
                        <w:tcBorders>
                          <w:bottom w:val="single" w:sz="4" w:space="0" w:color="auto"/>
                        </w:tcBorders>
                        <w:shd w:val="clear" w:color="auto" w:fill="auto"/>
                      </w:tcPr>
                      <w:p w:rsidR="00320965" w:rsidRDefault="00320965">
                        <w:pPr>
                          <w:spacing w:after="200" w:line="276" w:lineRule="auto"/>
                        </w:pPr>
                      </w:p>
                    </w:tc>
                    <w:tc>
                      <w:tcPr>
                        <w:tcW w:w="862" w:type="dxa"/>
                        <w:tcBorders>
                          <w:bottom w:val="single" w:sz="4" w:space="0" w:color="auto"/>
                        </w:tcBorders>
                        <w:shd w:val="clear" w:color="auto" w:fill="auto"/>
                      </w:tcPr>
                      <w:p w:rsidR="00320965" w:rsidRDefault="00320965">
                        <w:pPr>
                          <w:spacing w:after="200" w:line="276" w:lineRule="auto"/>
                        </w:pPr>
                      </w:p>
                    </w:tc>
                  </w:tr>
                  <w:tr w:rsidR="00320965" w:rsidTr="00320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251"/>
                    </w:trPr>
                    <w:tc>
                      <w:tcPr>
                        <w:tcW w:w="697" w:type="dxa"/>
                      </w:tcPr>
                      <w:p w:rsidR="00320965" w:rsidRDefault="00320965" w:rsidP="00320965"/>
                    </w:tc>
                    <w:tc>
                      <w:tcPr>
                        <w:tcW w:w="1644" w:type="dxa"/>
                        <w:tcBorders>
                          <w:bottom w:val="single" w:sz="4" w:space="0" w:color="auto"/>
                        </w:tcBorders>
                        <w:shd w:val="clear" w:color="auto" w:fill="auto"/>
                      </w:tcPr>
                      <w:p w:rsidR="00320965" w:rsidRDefault="00320965">
                        <w:pPr>
                          <w:spacing w:after="200" w:line="276" w:lineRule="auto"/>
                        </w:pPr>
                      </w:p>
                    </w:tc>
                    <w:tc>
                      <w:tcPr>
                        <w:tcW w:w="1265" w:type="dxa"/>
                        <w:tcBorders>
                          <w:bottom w:val="single" w:sz="4" w:space="0" w:color="auto"/>
                        </w:tcBorders>
                        <w:shd w:val="clear" w:color="auto" w:fill="auto"/>
                      </w:tcPr>
                      <w:p w:rsidR="00320965" w:rsidRDefault="00320965">
                        <w:pPr>
                          <w:spacing w:after="200" w:line="276" w:lineRule="auto"/>
                        </w:pPr>
                      </w:p>
                    </w:tc>
                    <w:tc>
                      <w:tcPr>
                        <w:tcW w:w="1068" w:type="dxa"/>
                        <w:tcBorders>
                          <w:bottom w:val="single" w:sz="4" w:space="0" w:color="auto"/>
                        </w:tcBorders>
                        <w:shd w:val="clear" w:color="auto" w:fill="auto"/>
                      </w:tcPr>
                      <w:p w:rsidR="00320965" w:rsidRDefault="00320965">
                        <w:pPr>
                          <w:spacing w:after="200" w:line="276" w:lineRule="auto"/>
                        </w:pPr>
                      </w:p>
                    </w:tc>
                    <w:tc>
                      <w:tcPr>
                        <w:tcW w:w="854" w:type="dxa"/>
                        <w:tcBorders>
                          <w:bottom w:val="single" w:sz="4" w:space="0" w:color="auto"/>
                        </w:tcBorders>
                        <w:shd w:val="clear" w:color="auto" w:fill="auto"/>
                      </w:tcPr>
                      <w:p w:rsidR="00320965" w:rsidRDefault="00320965">
                        <w:pPr>
                          <w:spacing w:after="200" w:line="276" w:lineRule="auto"/>
                        </w:pPr>
                      </w:p>
                    </w:tc>
                    <w:tc>
                      <w:tcPr>
                        <w:tcW w:w="862" w:type="dxa"/>
                        <w:tcBorders>
                          <w:bottom w:val="single" w:sz="4" w:space="0" w:color="auto"/>
                        </w:tcBorders>
                        <w:shd w:val="clear" w:color="auto" w:fill="auto"/>
                      </w:tcPr>
                      <w:p w:rsidR="00320965" w:rsidRDefault="00320965">
                        <w:pPr>
                          <w:spacing w:after="200" w:line="276" w:lineRule="auto"/>
                        </w:pPr>
                      </w:p>
                    </w:tc>
                  </w:tr>
                </w:tbl>
                <w:p w:rsidR="00320965" w:rsidRDefault="00320965" w:rsidP="009613E2"/>
                <w:p w:rsidR="00320965" w:rsidRDefault="00320965" w:rsidP="009613E2">
                  <w:pPr>
                    <w:ind w:left="142"/>
                    <w:rPr>
                      <w:b/>
                    </w:rPr>
                  </w:pPr>
                  <w:r w:rsidRPr="00B65546">
                    <w:rPr>
                      <w:b/>
                    </w:rPr>
                    <w:t>EXPERIENCIA EN OBRAS DEL RESIDENTE DE OBRA</w:t>
                  </w:r>
                </w:p>
                <w:p w:rsidR="00320965" w:rsidRPr="00B65546" w:rsidRDefault="00320965" w:rsidP="009613E2">
                  <w:pPr>
                    <w:ind w:left="142"/>
                    <w:rPr>
                      <w:b/>
                    </w:rPr>
                  </w:pPr>
                </w:p>
                <w:tbl>
                  <w:tblPr>
                    <w:tblW w:w="0" w:type="auto"/>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21"/>
                    <w:gridCol w:w="984"/>
                    <w:gridCol w:w="1173"/>
                    <w:gridCol w:w="1207"/>
                    <w:gridCol w:w="1020"/>
                    <w:gridCol w:w="887"/>
                    <w:gridCol w:w="545"/>
                    <w:gridCol w:w="918"/>
                  </w:tblGrid>
                  <w:tr w:rsidR="00320965" w:rsidTr="00320965">
                    <w:trPr>
                      <w:trHeight w:val="197"/>
                    </w:trPr>
                    <w:tc>
                      <w:tcPr>
                        <w:tcW w:w="321" w:type="dxa"/>
                        <w:vMerge w:val="restart"/>
                      </w:tcPr>
                      <w:p w:rsidR="00320965" w:rsidRDefault="00320965" w:rsidP="00320965">
                        <w:r>
                          <w:t>N</w:t>
                        </w:r>
                      </w:p>
                    </w:tc>
                    <w:tc>
                      <w:tcPr>
                        <w:tcW w:w="984" w:type="dxa"/>
                        <w:vMerge w:val="restart"/>
                      </w:tcPr>
                      <w:p w:rsidR="00320965" w:rsidRDefault="00320965" w:rsidP="00320965">
                        <w:r>
                          <w:t>CARGO</w:t>
                        </w:r>
                      </w:p>
                    </w:tc>
                    <w:tc>
                      <w:tcPr>
                        <w:tcW w:w="1173" w:type="dxa"/>
                        <w:vMerge w:val="restart"/>
                      </w:tcPr>
                      <w:p w:rsidR="00320965" w:rsidRDefault="00320965" w:rsidP="00320965">
                        <w:r>
                          <w:t>NOMBRE DE LA OBRA</w:t>
                        </w:r>
                      </w:p>
                    </w:tc>
                    <w:tc>
                      <w:tcPr>
                        <w:tcW w:w="1207" w:type="dxa"/>
                        <w:vMerge w:val="restart"/>
                      </w:tcPr>
                      <w:p w:rsidR="00320965" w:rsidRDefault="00320965" w:rsidP="00320965">
                        <w:r>
                          <w:t>ENTIDAD</w:t>
                        </w:r>
                      </w:p>
                    </w:tc>
                    <w:tc>
                      <w:tcPr>
                        <w:tcW w:w="1020" w:type="dxa"/>
                        <w:vMerge w:val="restart"/>
                      </w:tcPr>
                      <w:p w:rsidR="00320965" w:rsidRDefault="00320965" w:rsidP="00320965">
                        <w:r>
                          <w:t>MONTO</w:t>
                        </w:r>
                      </w:p>
                    </w:tc>
                    <w:tc>
                      <w:tcPr>
                        <w:tcW w:w="2350" w:type="dxa"/>
                        <w:gridSpan w:val="3"/>
                      </w:tcPr>
                      <w:p w:rsidR="00320965" w:rsidRDefault="00320965" w:rsidP="00320965">
                        <w:r>
                          <w:t>PERIODO DE DURACION</w:t>
                        </w:r>
                      </w:p>
                    </w:tc>
                  </w:tr>
                  <w:tr w:rsidR="00320965" w:rsidTr="00320965">
                    <w:trPr>
                      <w:trHeight w:val="179"/>
                    </w:trPr>
                    <w:tc>
                      <w:tcPr>
                        <w:tcW w:w="321" w:type="dxa"/>
                        <w:vMerge/>
                      </w:tcPr>
                      <w:p w:rsidR="00320965" w:rsidRDefault="00320965" w:rsidP="00320965"/>
                    </w:tc>
                    <w:tc>
                      <w:tcPr>
                        <w:tcW w:w="984" w:type="dxa"/>
                        <w:vMerge/>
                      </w:tcPr>
                      <w:p w:rsidR="00320965" w:rsidRDefault="00320965" w:rsidP="00320965"/>
                    </w:tc>
                    <w:tc>
                      <w:tcPr>
                        <w:tcW w:w="1173" w:type="dxa"/>
                        <w:vMerge/>
                      </w:tcPr>
                      <w:p w:rsidR="00320965" w:rsidRDefault="00320965" w:rsidP="00320965"/>
                    </w:tc>
                    <w:tc>
                      <w:tcPr>
                        <w:tcW w:w="1207" w:type="dxa"/>
                        <w:vMerge/>
                      </w:tcPr>
                      <w:p w:rsidR="00320965" w:rsidRDefault="00320965" w:rsidP="00320965"/>
                    </w:tc>
                    <w:tc>
                      <w:tcPr>
                        <w:tcW w:w="1020" w:type="dxa"/>
                        <w:vMerge/>
                      </w:tcPr>
                      <w:p w:rsidR="00320965" w:rsidRDefault="00320965" w:rsidP="00320965"/>
                    </w:tc>
                    <w:tc>
                      <w:tcPr>
                        <w:tcW w:w="887" w:type="dxa"/>
                      </w:tcPr>
                      <w:p w:rsidR="00320965" w:rsidRDefault="00320965" w:rsidP="00320965">
                        <w:r>
                          <w:t>INICIO</w:t>
                        </w:r>
                      </w:p>
                    </w:tc>
                    <w:tc>
                      <w:tcPr>
                        <w:tcW w:w="545" w:type="dxa"/>
                      </w:tcPr>
                      <w:p w:rsidR="00320965" w:rsidRDefault="00320965" w:rsidP="00320965">
                        <w:r>
                          <w:t>FIN</w:t>
                        </w:r>
                      </w:p>
                    </w:tc>
                    <w:tc>
                      <w:tcPr>
                        <w:tcW w:w="918" w:type="dxa"/>
                      </w:tcPr>
                      <w:p w:rsidR="00320965" w:rsidRDefault="00320965" w:rsidP="00320965">
                        <w:r>
                          <w:t>MESES</w:t>
                        </w:r>
                      </w:p>
                    </w:tc>
                  </w:tr>
                  <w:tr w:rsidR="00320965" w:rsidTr="00320965">
                    <w:trPr>
                      <w:trHeight w:val="322"/>
                    </w:trPr>
                    <w:tc>
                      <w:tcPr>
                        <w:tcW w:w="321" w:type="dxa"/>
                      </w:tcPr>
                      <w:p w:rsidR="00320965" w:rsidRDefault="00320965" w:rsidP="00320965"/>
                    </w:tc>
                    <w:tc>
                      <w:tcPr>
                        <w:tcW w:w="984" w:type="dxa"/>
                      </w:tcPr>
                      <w:p w:rsidR="00320965" w:rsidRDefault="00320965" w:rsidP="00320965"/>
                    </w:tc>
                    <w:tc>
                      <w:tcPr>
                        <w:tcW w:w="1173" w:type="dxa"/>
                      </w:tcPr>
                      <w:p w:rsidR="00320965" w:rsidRDefault="00320965" w:rsidP="00320965"/>
                    </w:tc>
                    <w:tc>
                      <w:tcPr>
                        <w:tcW w:w="1207" w:type="dxa"/>
                      </w:tcPr>
                      <w:p w:rsidR="00320965" w:rsidRDefault="00320965" w:rsidP="00320965"/>
                    </w:tc>
                    <w:tc>
                      <w:tcPr>
                        <w:tcW w:w="1020" w:type="dxa"/>
                      </w:tcPr>
                      <w:p w:rsidR="00320965" w:rsidRDefault="00320965" w:rsidP="00320965"/>
                    </w:tc>
                    <w:tc>
                      <w:tcPr>
                        <w:tcW w:w="2350" w:type="dxa"/>
                        <w:gridSpan w:val="3"/>
                      </w:tcPr>
                      <w:p w:rsidR="00320965" w:rsidRDefault="00320965" w:rsidP="00320965"/>
                    </w:tc>
                  </w:tr>
                  <w:tr w:rsidR="00320965" w:rsidTr="00320965">
                    <w:trPr>
                      <w:trHeight w:val="322"/>
                    </w:trPr>
                    <w:tc>
                      <w:tcPr>
                        <w:tcW w:w="321" w:type="dxa"/>
                      </w:tcPr>
                      <w:p w:rsidR="00320965" w:rsidRDefault="00320965" w:rsidP="00320965"/>
                    </w:tc>
                    <w:tc>
                      <w:tcPr>
                        <w:tcW w:w="984" w:type="dxa"/>
                      </w:tcPr>
                      <w:p w:rsidR="00320965" w:rsidRDefault="00320965" w:rsidP="00320965"/>
                    </w:tc>
                    <w:tc>
                      <w:tcPr>
                        <w:tcW w:w="1173" w:type="dxa"/>
                      </w:tcPr>
                      <w:p w:rsidR="00320965" w:rsidRDefault="00320965" w:rsidP="00320965"/>
                    </w:tc>
                    <w:tc>
                      <w:tcPr>
                        <w:tcW w:w="1207" w:type="dxa"/>
                      </w:tcPr>
                      <w:p w:rsidR="00320965" w:rsidRDefault="00320965" w:rsidP="00320965"/>
                    </w:tc>
                    <w:tc>
                      <w:tcPr>
                        <w:tcW w:w="1020" w:type="dxa"/>
                      </w:tcPr>
                      <w:p w:rsidR="00320965" w:rsidRDefault="00320965" w:rsidP="00320965"/>
                    </w:tc>
                    <w:tc>
                      <w:tcPr>
                        <w:tcW w:w="2350" w:type="dxa"/>
                        <w:gridSpan w:val="3"/>
                      </w:tcPr>
                      <w:p w:rsidR="00320965" w:rsidRDefault="00320965" w:rsidP="00320965"/>
                    </w:tc>
                  </w:tr>
                </w:tbl>
                <w:p w:rsidR="00320965" w:rsidRDefault="00320965" w:rsidP="009613E2"/>
                <w:p w:rsidR="00320965" w:rsidRDefault="00320965" w:rsidP="009613E2">
                  <w:r>
                    <w:t>Ciudad,……………………………</w:t>
                  </w:r>
                </w:p>
                <w:p w:rsidR="00320965" w:rsidRDefault="00320965" w:rsidP="009613E2"/>
                <w:p w:rsidR="00320965" w:rsidRDefault="00320965" w:rsidP="009613E2">
                  <w:pPr>
                    <w:jc w:val="center"/>
                  </w:pPr>
                  <w:r>
                    <w:t>Atentamente</w:t>
                  </w:r>
                </w:p>
                <w:p w:rsidR="00320965" w:rsidRDefault="00320965" w:rsidP="009613E2">
                  <w:pPr>
                    <w:jc w:val="center"/>
                  </w:pPr>
                </w:p>
                <w:p w:rsidR="00320965" w:rsidRDefault="00320965" w:rsidP="009613E2">
                  <w:pPr>
                    <w:jc w:val="center"/>
                  </w:pPr>
                  <w:r>
                    <w:t>……………………………………….</w:t>
                  </w:r>
                </w:p>
                <w:p w:rsidR="00320965" w:rsidRPr="005F55C0" w:rsidRDefault="00320965" w:rsidP="009613E2">
                  <w:pPr>
                    <w:jc w:val="center"/>
                  </w:pPr>
                  <w:r>
                    <w:t>Firma y sello del representante legal</w:t>
                  </w:r>
                </w:p>
              </w:txbxContent>
            </v:textbox>
          </v:shape>
        </w:pict>
      </w:r>
    </w:p>
    <w:p w:rsidR="009613E2" w:rsidRPr="00320965" w:rsidRDefault="009613E2" w:rsidP="009613E2">
      <w:pPr>
        <w:ind w:left="567"/>
        <w:jc w:val="both"/>
        <w:rPr>
          <w:rFonts w:ascii="Tahoma" w:hAnsi="Tahoma" w:cs="Tahoma"/>
          <w:sz w:val="22"/>
          <w:szCs w:val="22"/>
        </w:rPr>
      </w:pPr>
    </w:p>
    <w:p w:rsidR="009613E2" w:rsidRPr="00320965" w:rsidRDefault="009613E2" w:rsidP="009613E2">
      <w:pPr>
        <w:ind w:left="567"/>
        <w:jc w:val="both"/>
        <w:rPr>
          <w:rFonts w:ascii="Tahoma" w:hAnsi="Tahoma" w:cs="Tahoma"/>
          <w:sz w:val="22"/>
          <w:szCs w:val="22"/>
        </w:rPr>
      </w:pPr>
    </w:p>
    <w:p w:rsidR="009613E2" w:rsidRPr="00320965" w:rsidRDefault="009613E2" w:rsidP="009613E2">
      <w:pPr>
        <w:ind w:left="567"/>
        <w:jc w:val="both"/>
        <w:rPr>
          <w:rFonts w:ascii="Tahoma" w:hAnsi="Tahoma" w:cs="Tahoma"/>
          <w:sz w:val="22"/>
          <w:szCs w:val="22"/>
        </w:rPr>
      </w:pPr>
    </w:p>
    <w:p w:rsidR="009613E2" w:rsidRPr="00320965" w:rsidRDefault="009613E2" w:rsidP="009613E2">
      <w:pPr>
        <w:ind w:left="567"/>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C10F49" w:rsidRPr="00320965" w:rsidRDefault="00C10F49" w:rsidP="009613E2">
      <w:pPr>
        <w:jc w:val="both"/>
        <w:rPr>
          <w:rFonts w:ascii="Tahoma" w:hAnsi="Tahoma" w:cs="Tahoma"/>
          <w:sz w:val="22"/>
          <w:szCs w:val="22"/>
        </w:rPr>
      </w:pPr>
    </w:p>
    <w:p w:rsidR="009613E2" w:rsidRPr="00320965" w:rsidRDefault="009613E2" w:rsidP="009613E2">
      <w:pPr>
        <w:pStyle w:val="Prrafodelista"/>
        <w:widowControl/>
        <w:numPr>
          <w:ilvl w:val="0"/>
          <w:numId w:val="10"/>
        </w:numPr>
        <w:suppressAutoHyphens w:val="0"/>
        <w:ind w:left="567" w:hanging="567"/>
        <w:jc w:val="both"/>
        <w:rPr>
          <w:rFonts w:ascii="Tahoma" w:hAnsi="Tahoma" w:cs="Tahoma"/>
          <w:sz w:val="22"/>
          <w:szCs w:val="22"/>
        </w:rPr>
      </w:pPr>
      <w:r w:rsidRPr="00320965">
        <w:rPr>
          <w:rFonts w:ascii="Tahoma" w:hAnsi="Tahoma" w:cs="Tahoma"/>
          <w:sz w:val="22"/>
          <w:szCs w:val="22"/>
        </w:rPr>
        <w:t>De la revisión de las Bases administrativas se puede apreciar el requerimiento efectuado por la Entidad a fin de contar con el Ingeniero Residente de Obra, como es el de contar con un mínimo de 03 años de experiencia como Residente o Supervisor en obras, el mismo que se acreditara con Contratos y Actas de Recepción o Terminación de Obra, siendo requisito también la presentación del Formato Nº 04, que según lo apreciado contiene información que la Entidad ha valorado como pertinente para su acreditación.</w:t>
      </w:r>
    </w:p>
    <w:p w:rsidR="009613E2" w:rsidRPr="00320965" w:rsidRDefault="009613E2" w:rsidP="009613E2">
      <w:pPr>
        <w:pStyle w:val="Prrafodelista"/>
        <w:ind w:left="927"/>
        <w:jc w:val="both"/>
        <w:rPr>
          <w:rFonts w:ascii="Tahoma" w:hAnsi="Tahoma" w:cs="Tahoma"/>
          <w:sz w:val="22"/>
          <w:szCs w:val="22"/>
        </w:rPr>
      </w:pPr>
    </w:p>
    <w:p w:rsidR="009613E2" w:rsidRPr="00320965" w:rsidRDefault="009613E2" w:rsidP="009613E2">
      <w:pPr>
        <w:numPr>
          <w:ilvl w:val="0"/>
          <w:numId w:val="10"/>
        </w:numPr>
        <w:tabs>
          <w:tab w:val="num" w:pos="567"/>
        </w:tabs>
        <w:ind w:left="567" w:hanging="567"/>
        <w:jc w:val="both"/>
        <w:rPr>
          <w:rFonts w:ascii="Tahoma" w:hAnsi="Tahoma" w:cs="Tahoma"/>
          <w:sz w:val="22"/>
          <w:szCs w:val="22"/>
        </w:rPr>
      </w:pPr>
      <w:r w:rsidRPr="00320965">
        <w:rPr>
          <w:rFonts w:ascii="Tahoma" w:hAnsi="Tahoma" w:cs="Tahoma"/>
          <w:sz w:val="22"/>
          <w:szCs w:val="22"/>
        </w:rPr>
        <w:t>De otro lado, se tiene para la maquinaria lo establecido en el numeral 4 del Capítulo III respecto de los requerimiento técnicos mínimos lo siguiente:</w:t>
      </w:r>
    </w:p>
    <w:p w:rsidR="009613E2" w:rsidRPr="00320965" w:rsidRDefault="009613E2" w:rsidP="009613E2">
      <w:pPr>
        <w:pStyle w:val="Prrafodelista"/>
        <w:rPr>
          <w:rFonts w:ascii="Tahoma" w:hAnsi="Tahoma" w:cs="Tahoma"/>
          <w:sz w:val="22"/>
          <w:szCs w:val="22"/>
        </w:rPr>
      </w:pPr>
    </w:p>
    <w:p w:rsidR="009613E2" w:rsidRPr="00320965" w:rsidRDefault="009613E2" w:rsidP="009613E2">
      <w:pPr>
        <w:ind w:left="567"/>
        <w:jc w:val="both"/>
        <w:rPr>
          <w:rFonts w:ascii="Tahoma" w:hAnsi="Tahoma" w:cs="Tahoma"/>
          <w:b/>
          <w:i/>
          <w:sz w:val="22"/>
          <w:szCs w:val="22"/>
        </w:rPr>
      </w:pPr>
      <w:r w:rsidRPr="00320965">
        <w:rPr>
          <w:rFonts w:ascii="Tahoma" w:hAnsi="Tahoma" w:cs="Tahoma"/>
          <w:b/>
          <w:i/>
          <w:sz w:val="22"/>
          <w:szCs w:val="22"/>
        </w:rPr>
        <w:t>“4) EQUIPO, MAQUINARIA Y VEHICULOS</w:t>
      </w:r>
    </w:p>
    <w:p w:rsidR="009613E2" w:rsidRPr="00320965" w:rsidRDefault="009613E2" w:rsidP="009613E2">
      <w:pPr>
        <w:ind w:left="567"/>
        <w:jc w:val="both"/>
        <w:rPr>
          <w:rFonts w:ascii="Tahoma" w:hAnsi="Tahoma" w:cs="Tahoma"/>
          <w:i/>
          <w:sz w:val="22"/>
          <w:szCs w:val="22"/>
        </w:rPr>
      </w:pPr>
    </w:p>
    <w:tbl>
      <w:tblPr>
        <w:tblW w:w="0" w:type="auto"/>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72"/>
        <w:gridCol w:w="6663"/>
      </w:tblGrid>
      <w:tr w:rsidR="009613E2" w:rsidRPr="00320965" w:rsidTr="00320965">
        <w:trPr>
          <w:trHeight w:val="438"/>
        </w:trPr>
        <w:tc>
          <w:tcPr>
            <w:tcW w:w="1172" w:type="dxa"/>
          </w:tcPr>
          <w:p w:rsidR="009613E2" w:rsidRPr="00320965" w:rsidRDefault="009613E2" w:rsidP="00320965">
            <w:pPr>
              <w:ind w:left="-57"/>
              <w:jc w:val="both"/>
              <w:rPr>
                <w:rFonts w:ascii="Tahoma" w:hAnsi="Tahoma" w:cs="Tahoma"/>
                <w:i/>
              </w:rPr>
            </w:pPr>
          </w:p>
          <w:p w:rsidR="009613E2" w:rsidRPr="00320965" w:rsidRDefault="009613E2" w:rsidP="00320965">
            <w:pPr>
              <w:ind w:left="-57"/>
              <w:jc w:val="center"/>
              <w:rPr>
                <w:rFonts w:ascii="Tahoma" w:hAnsi="Tahoma" w:cs="Tahoma"/>
                <w:i/>
              </w:rPr>
            </w:pPr>
            <w:r w:rsidRPr="00320965">
              <w:rPr>
                <w:rFonts w:ascii="Tahoma" w:hAnsi="Tahoma" w:cs="Tahoma"/>
                <w:i/>
                <w:sz w:val="22"/>
                <w:szCs w:val="22"/>
              </w:rPr>
              <w:t>CANTIDAD</w:t>
            </w:r>
          </w:p>
        </w:tc>
        <w:tc>
          <w:tcPr>
            <w:tcW w:w="6663" w:type="dxa"/>
          </w:tcPr>
          <w:p w:rsidR="009613E2" w:rsidRPr="00320965" w:rsidRDefault="009613E2" w:rsidP="00320965">
            <w:pPr>
              <w:jc w:val="center"/>
              <w:rPr>
                <w:rFonts w:ascii="Tahoma" w:hAnsi="Tahoma" w:cs="Tahoma"/>
                <w:i/>
              </w:rPr>
            </w:pPr>
          </w:p>
          <w:p w:rsidR="009613E2" w:rsidRPr="00320965" w:rsidRDefault="009613E2" w:rsidP="00320965">
            <w:pPr>
              <w:jc w:val="center"/>
              <w:rPr>
                <w:rFonts w:ascii="Tahoma" w:hAnsi="Tahoma" w:cs="Tahoma"/>
                <w:i/>
              </w:rPr>
            </w:pPr>
            <w:r w:rsidRPr="00320965">
              <w:rPr>
                <w:rFonts w:ascii="Tahoma" w:hAnsi="Tahoma" w:cs="Tahoma"/>
                <w:i/>
                <w:sz w:val="22"/>
                <w:szCs w:val="22"/>
              </w:rPr>
              <w:t>RELACION</w:t>
            </w:r>
          </w:p>
        </w:tc>
      </w:tr>
      <w:tr w:rsidR="009613E2" w:rsidRPr="00320965" w:rsidTr="00320965">
        <w:trPr>
          <w:trHeight w:val="304"/>
        </w:trPr>
        <w:tc>
          <w:tcPr>
            <w:tcW w:w="1172" w:type="dxa"/>
          </w:tcPr>
          <w:p w:rsidR="009613E2" w:rsidRPr="00320965" w:rsidRDefault="009613E2" w:rsidP="00320965">
            <w:pPr>
              <w:ind w:left="-57"/>
              <w:jc w:val="center"/>
              <w:rPr>
                <w:rFonts w:ascii="Tahoma" w:hAnsi="Tahoma" w:cs="Tahoma"/>
                <w:i/>
              </w:rPr>
            </w:pPr>
            <w:r w:rsidRPr="00320965">
              <w:rPr>
                <w:rFonts w:ascii="Tahoma" w:hAnsi="Tahoma" w:cs="Tahoma"/>
                <w:i/>
                <w:sz w:val="22"/>
                <w:szCs w:val="22"/>
              </w:rPr>
              <w:t>1</w:t>
            </w:r>
          </w:p>
        </w:tc>
        <w:tc>
          <w:tcPr>
            <w:tcW w:w="6663" w:type="dxa"/>
          </w:tcPr>
          <w:p w:rsidR="009613E2" w:rsidRPr="00320965" w:rsidRDefault="009613E2" w:rsidP="00320965">
            <w:pPr>
              <w:jc w:val="both"/>
              <w:rPr>
                <w:rFonts w:ascii="Tahoma" w:hAnsi="Tahoma" w:cs="Tahoma"/>
                <w:i/>
              </w:rPr>
            </w:pPr>
            <w:r w:rsidRPr="00320965">
              <w:rPr>
                <w:rFonts w:ascii="Tahoma" w:hAnsi="Tahoma" w:cs="Tahoma"/>
                <w:i/>
                <w:sz w:val="22"/>
                <w:szCs w:val="22"/>
              </w:rPr>
              <w:t>Mezcladora de Concreto de 9-11 p3</w:t>
            </w:r>
          </w:p>
        </w:tc>
      </w:tr>
      <w:tr w:rsidR="009613E2" w:rsidRPr="00320965" w:rsidTr="00320965">
        <w:trPr>
          <w:trHeight w:val="331"/>
        </w:trPr>
        <w:tc>
          <w:tcPr>
            <w:tcW w:w="1172" w:type="dxa"/>
          </w:tcPr>
          <w:p w:rsidR="009613E2" w:rsidRPr="00320965" w:rsidRDefault="009613E2" w:rsidP="00320965">
            <w:pPr>
              <w:ind w:left="-57"/>
              <w:jc w:val="center"/>
              <w:rPr>
                <w:rFonts w:ascii="Tahoma" w:hAnsi="Tahoma" w:cs="Tahoma"/>
                <w:i/>
              </w:rPr>
            </w:pPr>
            <w:r w:rsidRPr="00320965">
              <w:rPr>
                <w:rFonts w:ascii="Tahoma" w:hAnsi="Tahoma" w:cs="Tahoma"/>
                <w:i/>
                <w:sz w:val="22"/>
                <w:szCs w:val="22"/>
              </w:rPr>
              <w:t>1</w:t>
            </w:r>
          </w:p>
        </w:tc>
        <w:tc>
          <w:tcPr>
            <w:tcW w:w="6663" w:type="dxa"/>
          </w:tcPr>
          <w:p w:rsidR="009613E2" w:rsidRPr="00320965" w:rsidRDefault="009613E2" w:rsidP="00320965">
            <w:pPr>
              <w:jc w:val="both"/>
              <w:rPr>
                <w:rFonts w:ascii="Tahoma" w:hAnsi="Tahoma" w:cs="Tahoma"/>
                <w:i/>
              </w:rPr>
            </w:pPr>
            <w:r w:rsidRPr="00320965">
              <w:rPr>
                <w:rFonts w:ascii="Tahoma" w:hAnsi="Tahoma" w:cs="Tahoma"/>
                <w:i/>
                <w:sz w:val="22"/>
                <w:szCs w:val="22"/>
              </w:rPr>
              <w:t>Camión Volquete 10 m3 o a mas</w:t>
            </w:r>
          </w:p>
        </w:tc>
      </w:tr>
      <w:tr w:rsidR="009613E2" w:rsidRPr="00320965" w:rsidTr="00320965">
        <w:trPr>
          <w:trHeight w:val="277"/>
        </w:trPr>
        <w:tc>
          <w:tcPr>
            <w:tcW w:w="1172" w:type="dxa"/>
          </w:tcPr>
          <w:p w:rsidR="009613E2" w:rsidRPr="00320965" w:rsidRDefault="009613E2" w:rsidP="00320965">
            <w:pPr>
              <w:ind w:left="-57"/>
              <w:jc w:val="center"/>
              <w:rPr>
                <w:rFonts w:ascii="Tahoma" w:hAnsi="Tahoma" w:cs="Tahoma"/>
                <w:i/>
              </w:rPr>
            </w:pPr>
            <w:r w:rsidRPr="00320965">
              <w:rPr>
                <w:rFonts w:ascii="Tahoma" w:hAnsi="Tahoma" w:cs="Tahoma"/>
                <w:i/>
                <w:sz w:val="22"/>
                <w:szCs w:val="22"/>
              </w:rPr>
              <w:t>1</w:t>
            </w:r>
          </w:p>
        </w:tc>
        <w:tc>
          <w:tcPr>
            <w:tcW w:w="6663" w:type="dxa"/>
          </w:tcPr>
          <w:p w:rsidR="009613E2" w:rsidRPr="00320965" w:rsidRDefault="009613E2" w:rsidP="00320965">
            <w:pPr>
              <w:jc w:val="both"/>
              <w:rPr>
                <w:rFonts w:ascii="Tahoma" w:hAnsi="Tahoma" w:cs="Tahoma"/>
                <w:i/>
              </w:rPr>
            </w:pPr>
            <w:r w:rsidRPr="00320965">
              <w:rPr>
                <w:rFonts w:ascii="Tahoma" w:hAnsi="Tahoma" w:cs="Tahoma"/>
                <w:i/>
                <w:sz w:val="22"/>
                <w:szCs w:val="22"/>
              </w:rPr>
              <w:t>Cargador sobre llantas 125 HP 2.5 y D3</w:t>
            </w:r>
          </w:p>
        </w:tc>
      </w:tr>
      <w:tr w:rsidR="009613E2" w:rsidRPr="00320965" w:rsidTr="00320965">
        <w:trPr>
          <w:trHeight w:val="340"/>
        </w:trPr>
        <w:tc>
          <w:tcPr>
            <w:tcW w:w="1172" w:type="dxa"/>
          </w:tcPr>
          <w:p w:rsidR="009613E2" w:rsidRPr="00320965" w:rsidRDefault="009613E2" w:rsidP="00320965">
            <w:pPr>
              <w:ind w:left="-57"/>
              <w:jc w:val="center"/>
              <w:rPr>
                <w:rFonts w:ascii="Tahoma" w:hAnsi="Tahoma" w:cs="Tahoma"/>
                <w:i/>
              </w:rPr>
            </w:pPr>
            <w:r w:rsidRPr="00320965">
              <w:rPr>
                <w:rFonts w:ascii="Tahoma" w:hAnsi="Tahoma" w:cs="Tahoma"/>
                <w:i/>
                <w:sz w:val="22"/>
                <w:szCs w:val="22"/>
              </w:rPr>
              <w:t>1</w:t>
            </w:r>
          </w:p>
        </w:tc>
        <w:tc>
          <w:tcPr>
            <w:tcW w:w="6663" w:type="dxa"/>
          </w:tcPr>
          <w:p w:rsidR="009613E2" w:rsidRPr="00320965" w:rsidRDefault="009613E2" w:rsidP="00320965">
            <w:pPr>
              <w:jc w:val="both"/>
              <w:rPr>
                <w:rFonts w:ascii="Tahoma" w:hAnsi="Tahoma" w:cs="Tahoma"/>
                <w:i/>
              </w:rPr>
            </w:pPr>
            <w:r w:rsidRPr="00320965">
              <w:rPr>
                <w:rFonts w:ascii="Tahoma" w:hAnsi="Tahoma" w:cs="Tahoma"/>
                <w:i/>
                <w:sz w:val="22"/>
                <w:szCs w:val="22"/>
              </w:rPr>
              <w:t>Vibrador de Concreto 4 HP 2.40”</w:t>
            </w:r>
          </w:p>
        </w:tc>
      </w:tr>
      <w:tr w:rsidR="009613E2" w:rsidRPr="00320965" w:rsidTr="00320965">
        <w:trPr>
          <w:trHeight w:val="260"/>
        </w:trPr>
        <w:tc>
          <w:tcPr>
            <w:tcW w:w="1172" w:type="dxa"/>
          </w:tcPr>
          <w:p w:rsidR="009613E2" w:rsidRPr="00320965" w:rsidRDefault="009613E2" w:rsidP="00320965">
            <w:pPr>
              <w:ind w:left="-57"/>
              <w:jc w:val="center"/>
              <w:rPr>
                <w:rFonts w:ascii="Tahoma" w:hAnsi="Tahoma" w:cs="Tahoma"/>
                <w:i/>
              </w:rPr>
            </w:pPr>
            <w:r w:rsidRPr="00320965">
              <w:rPr>
                <w:rFonts w:ascii="Tahoma" w:hAnsi="Tahoma" w:cs="Tahoma"/>
                <w:i/>
                <w:sz w:val="22"/>
                <w:szCs w:val="22"/>
              </w:rPr>
              <w:t>1</w:t>
            </w:r>
          </w:p>
        </w:tc>
        <w:tc>
          <w:tcPr>
            <w:tcW w:w="6663" w:type="dxa"/>
          </w:tcPr>
          <w:p w:rsidR="009613E2" w:rsidRPr="00320965" w:rsidRDefault="009613E2" w:rsidP="00320965">
            <w:pPr>
              <w:jc w:val="both"/>
              <w:rPr>
                <w:rFonts w:ascii="Tahoma" w:hAnsi="Tahoma" w:cs="Tahoma"/>
                <w:i/>
              </w:rPr>
            </w:pPr>
            <w:r w:rsidRPr="00320965">
              <w:rPr>
                <w:rFonts w:ascii="Tahoma" w:hAnsi="Tahoma" w:cs="Tahoma"/>
                <w:i/>
                <w:sz w:val="22"/>
                <w:szCs w:val="22"/>
              </w:rPr>
              <w:t>Tractor D6</w:t>
            </w:r>
          </w:p>
        </w:tc>
      </w:tr>
      <w:tr w:rsidR="009613E2" w:rsidRPr="00320965" w:rsidTr="00320965">
        <w:trPr>
          <w:trHeight w:val="349"/>
        </w:trPr>
        <w:tc>
          <w:tcPr>
            <w:tcW w:w="1172" w:type="dxa"/>
          </w:tcPr>
          <w:p w:rsidR="009613E2" w:rsidRPr="00320965" w:rsidRDefault="009613E2" w:rsidP="00320965">
            <w:pPr>
              <w:ind w:left="-57"/>
              <w:jc w:val="center"/>
              <w:rPr>
                <w:rFonts w:ascii="Tahoma" w:hAnsi="Tahoma" w:cs="Tahoma"/>
                <w:i/>
              </w:rPr>
            </w:pPr>
            <w:r w:rsidRPr="00320965">
              <w:rPr>
                <w:rFonts w:ascii="Tahoma" w:hAnsi="Tahoma" w:cs="Tahoma"/>
                <w:i/>
                <w:sz w:val="22"/>
                <w:szCs w:val="22"/>
              </w:rPr>
              <w:t>1</w:t>
            </w:r>
          </w:p>
        </w:tc>
        <w:tc>
          <w:tcPr>
            <w:tcW w:w="6663" w:type="dxa"/>
          </w:tcPr>
          <w:p w:rsidR="009613E2" w:rsidRPr="00320965" w:rsidRDefault="009613E2" w:rsidP="00320965">
            <w:pPr>
              <w:jc w:val="both"/>
              <w:rPr>
                <w:rFonts w:ascii="Tahoma" w:hAnsi="Tahoma" w:cs="Tahoma"/>
                <w:i/>
              </w:rPr>
            </w:pPr>
            <w:r w:rsidRPr="00320965">
              <w:rPr>
                <w:rFonts w:ascii="Tahoma" w:hAnsi="Tahoma" w:cs="Tahoma"/>
                <w:i/>
                <w:sz w:val="22"/>
                <w:szCs w:val="22"/>
              </w:rPr>
              <w:t>Motoniveladora de 25 HP</w:t>
            </w:r>
          </w:p>
        </w:tc>
      </w:tr>
      <w:tr w:rsidR="009613E2" w:rsidRPr="00320965" w:rsidTr="00320965">
        <w:trPr>
          <w:trHeight w:val="259"/>
        </w:trPr>
        <w:tc>
          <w:tcPr>
            <w:tcW w:w="1172" w:type="dxa"/>
          </w:tcPr>
          <w:p w:rsidR="009613E2" w:rsidRPr="00320965" w:rsidRDefault="009613E2" w:rsidP="00320965">
            <w:pPr>
              <w:ind w:left="-57"/>
              <w:jc w:val="center"/>
              <w:rPr>
                <w:rFonts w:ascii="Tahoma" w:hAnsi="Tahoma" w:cs="Tahoma"/>
                <w:i/>
              </w:rPr>
            </w:pPr>
            <w:r w:rsidRPr="00320965">
              <w:rPr>
                <w:rFonts w:ascii="Tahoma" w:hAnsi="Tahoma" w:cs="Tahoma"/>
                <w:i/>
                <w:sz w:val="22"/>
                <w:szCs w:val="22"/>
              </w:rPr>
              <w:t>1</w:t>
            </w:r>
          </w:p>
        </w:tc>
        <w:tc>
          <w:tcPr>
            <w:tcW w:w="6663" w:type="dxa"/>
          </w:tcPr>
          <w:p w:rsidR="009613E2" w:rsidRPr="00320965" w:rsidRDefault="009613E2" w:rsidP="00320965">
            <w:pPr>
              <w:jc w:val="both"/>
              <w:rPr>
                <w:rFonts w:ascii="Tahoma" w:hAnsi="Tahoma" w:cs="Tahoma"/>
                <w:i/>
              </w:rPr>
            </w:pPr>
            <w:r w:rsidRPr="00320965">
              <w:rPr>
                <w:rFonts w:ascii="Tahoma" w:hAnsi="Tahoma" w:cs="Tahoma"/>
                <w:i/>
                <w:sz w:val="22"/>
                <w:szCs w:val="22"/>
              </w:rPr>
              <w:t>Rodillo Liso Vibratorio</w:t>
            </w:r>
          </w:p>
        </w:tc>
      </w:tr>
      <w:tr w:rsidR="009613E2" w:rsidRPr="00320965" w:rsidTr="00320965">
        <w:trPr>
          <w:trHeight w:val="286"/>
        </w:trPr>
        <w:tc>
          <w:tcPr>
            <w:tcW w:w="1172" w:type="dxa"/>
          </w:tcPr>
          <w:p w:rsidR="009613E2" w:rsidRPr="00320965" w:rsidRDefault="009613E2" w:rsidP="00320965">
            <w:pPr>
              <w:ind w:left="-57"/>
              <w:jc w:val="center"/>
              <w:rPr>
                <w:rFonts w:ascii="Tahoma" w:hAnsi="Tahoma" w:cs="Tahoma"/>
                <w:i/>
              </w:rPr>
            </w:pPr>
            <w:r w:rsidRPr="00320965">
              <w:rPr>
                <w:rFonts w:ascii="Tahoma" w:hAnsi="Tahoma" w:cs="Tahoma"/>
                <w:i/>
                <w:sz w:val="22"/>
                <w:szCs w:val="22"/>
              </w:rPr>
              <w:t>1</w:t>
            </w:r>
          </w:p>
        </w:tc>
        <w:tc>
          <w:tcPr>
            <w:tcW w:w="6663" w:type="dxa"/>
          </w:tcPr>
          <w:p w:rsidR="009613E2" w:rsidRPr="00320965" w:rsidRDefault="009613E2" w:rsidP="00320965">
            <w:pPr>
              <w:jc w:val="both"/>
              <w:rPr>
                <w:rFonts w:ascii="Tahoma" w:hAnsi="Tahoma" w:cs="Tahoma"/>
                <w:i/>
              </w:rPr>
            </w:pPr>
            <w:r w:rsidRPr="00320965">
              <w:rPr>
                <w:rFonts w:ascii="Tahoma" w:hAnsi="Tahoma" w:cs="Tahoma"/>
                <w:i/>
                <w:sz w:val="22"/>
                <w:szCs w:val="22"/>
              </w:rPr>
              <w:t>Nivel Topográfico con Trípode</w:t>
            </w:r>
          </w:p>
        </w:tc>
      </w:tr>
      <w:tr w:rsidR="009613E2" w:rsidRPr="00320965" w:rsidTr="00320965">
        <w:trPr>
          <w:trHeight w:val="286"/>
        </w:trPr>
        <w:tc>
          <w:tcPr>
            <w:tcW w:w="1172" w:type="dxa"/>
          </w:tcPr>
          <w:p w:rsidR="009613E2" w:rsidRPr="00320965" w:rsidRDefault="009613E2" w:rsidP="00320965">
            <w:pPr>
              <w:jc w:val="center"/>
              <w:rPr>
                <w:rFonts w:ascii="Tahoma" w:hAnsi="Tahoma" w:cs="Tahoma"/>
                <w:i/>
              </w:rPr>
            </w:pPr>
            <w:r w:rsidRPr="00320965">
              <w:rPr>
                <w:rFonts w:ascii="Tahoma" w:hAnsi="Tahoma" w:cs="Tahoma"/>
                <w:i/>
                <w:sz w:val="22"/>
                <w:szCs w:val="22"/>
              </w:rPr>
              <w:t>1</w:t>
            </w:r>
          </w:p>
        </w:tc>
        <w:tc>
          <w:tcPr>
            <w:tcW w:w="6663" w:type="dxa"/>
          </w:tcPr>
          <w:p w:rsidR="009613E2" w:rsidRPr="00320965" w:rsidRDefault="009613E2" w:rsidP="00320965">
            <w:pPr>
              <w:jc w:val="both"/>
              <w:rPr>
                <w:rFonts w:ascii="Tahoma" w:hAnsi="Tahoma" w:cs="Tahoma"/>
                <w:i/>
              </w:rPr>
            </w:pPr>
            <w:r w:rsidRPr="00320965">
              <w:rPr>
                <w:rFonts w:ascii="Tahoma" w:hAnsi="Tahoma" w:cs="Tahoma"/>
                <w:i/>
                <w:sz w:val="22"/>
                <w:szCs w:val="22"/>
              </w:rPr>
              <w:t>Teodolito</w:t>
            </w:r>
          </w:p>
        </w:tc>
      </w:tr>
    </w:tbl>
    <w:p w:rsidR="009613E2" w:rsidRPr="00320965" w:rsidRDefault="009613E2" w:rsidP="009613E2">
      <w:pPr>
        <w:jc w:val="both"/>
        <w:rPr>
          <w:rFonts w:ascii="Tahoma" w:hAnsi="Tahoma" w:cs="Tahoma"/>
          <w:i/>
          <w:sz w:val="22"/>
          <w:szCs w:val="22"/>
        </w:rPr>
      </w:pPr>
      <w:r w:rsidRPr="00320965">
        <w:rPr>
          <w:rFonts w:ascii="Tahoma" w:hAnsi="Tahoma" w:cs="Tahoma"/>
          <w:i/>
          <w:sz w:val="22"/>
          <w:szCs w:val="22"/>
        </w:rPr>
        <w:tab/>
      </w:r>
    </w:p>
    <w:p w:rsidR="009613E2" w:rsidRPr="00320965" w:rsidRDefault="009613E2" w:rsidP="009613E2">
      <w:pPr>
        <w:ind w:left="567"/>
        <w:jc w:val="both"/>
        <w:rPr>
          <w:rFonts w:ascii="Tahoma" w:hAnsi="Tahoma" w:cs="Tahoma"/>
          <w:i/>
          <w:sz w:val="22"/>
          <w:szCs w:val="22"/>
        </w:rPr>
      </w:pPr>
      <w:r w:rsidRPr="00320965">
        <w:rPr>
          <w:rFonts w:ascii="Tahoma" w:hAnsi="Tahoma" w:cs="Tahoma"/>
          <w:i/>
          <w:sz w:val="22"/>
          <w:szCs w:val="22"/>
        </w:rPr>
        <w:t>Todos los equipos y maquinarias necesarios para la ejecución satisfactoria de los trabajos a realizar, deberán llevarse a obra en forma oportuna y no podrán retirarse de la misma salvo autorización escrita del Supervisor, que no podrá negarla sin justa razón.</w:t>
      </w:r>
    </w:p>
    <w:p w:rsidR="009613E2" w:rsidRPr="00320965" w:rsidRDefault="009613E2" w:rsidP="009613E2">
      <w:pPr>
        <w:ind w:left="567"/>
        <w:jc w:val="both"/>
        <w:rPr>
          <w:rFonts w:ascii="Tahoma" w:hAnsi="Tahoma" w:cs="Tahoma"/>
          <w:i/>
          <w:sz w:val="22"/>
          <w:szCs w:val="22"/>
        </w:rPr>
      </w:pPr>
      <w:r w:rsidRPr="00320965">
        <w:rPr>
          <w:rFonts w:ascii="Tahoma" w:hAnsi="Tahoma" w:cs="Tahoma"/>
          <w:i/>
          <w:sz w:val="22"/>
          <w:szCs w:val="22"/>
        </w:rPr>
        <w:t>Las perdidas o daños causados a los equipos y maquinarias durante la ejecución de las obras corren por cuenta del Contratista.</w:t>
      </w:r>
    </w:p>
    <w:p w:rsidR="009613E2" w:rsidRDefault="009613E2" w:rsidP="009613E2">
      <w:pPr>
        <w:ind w:left="567"/>
        <w:jc w:val="both"/>
        <w:rPr>
          <w:rFonts w:ascii="Tahoma" w:hAnsi="Tahoma" w:cs="Tahoma"/>
          <w:i/>
          <w:sz w:val="22"/>
          <w:szCs w:val="22"/>
        </w:rPr>
      </w:pPr>
      <w:r w:rsidRPr="00320965">
        <w:rPr>
          <w:rFonts w:ascii="Tahoma" w:hAnsi="Tahoma" w:cs="Tahoma"/>
          <w:i/>
          <w:sz w:val="22"/>
          <w:szCs w:val="22"/>
        </w:rPr>
        <w:t>El equipo deberá tener una antigüedad máxima de DIEZ (10) años (la cual deberá ser demostrada)”</w:t>
      </w:r>
    </w:p>
    <w:p w:rsidR="00C10F49" w:rsidRDefault="00C10F49" w:rsidP="009613E2">
      <w:pPr>
        <w:ind w:left="567"/>
        <w:jc w:val="both"/>
        <w:rPr>
          <w:rFonts w:ascii="Tahoma" w:hAnsi="Tahoma" w:cs="Tahoma"/>
          <w:i/>
          <w:sz w:val="22"/>
          <w:szCs w:val="22"/>
        </w:rPr>
      </w:pPr>
    </w:p>
    <w:p w:rsidR="00C10F49" w:rsidRDefault="00C10F49" w:rsidP="009613E2">
      <w:pPr>
        <w:ind w:left="567"/>
        <w:jc w:val="both"/>
        <w:rPr>
          <w:rFonts w:ascii="Tahoma" w:hAnsi="Tahoma" w:cs="Tahoma"/>
          <w:i/>
          <w:sz w:val="22"/>
          <w:szCs w:val="22"/>
        </w:rPr>
      </w:pPr>
    </w:p>
    <w:p w:rsidR="00C10F49" w:rsidRDefault="00C10F49" w:rsidP="009613E2">
      <w:pPr>
        <w:ind w:left="567"/>
        <w:jc w:val="both"/>
        <w:rPr>
          <w:rFonts w:ascii="Tahoma" w:hAnsi="Tahoma" w:cs="Tahoma"/>
          <w:i/>
          <w:sz w:val="22"/>
          <w:szCs w:val="22"/>
        </w:rPr>
      </w:pPr>
    </w:p>
    <w:p w:rsidR="00C10F49" w:rsidRDefault="00C10F49" w:rsidP="009613E2">
      <w:pPr>
        <w:ind w:left="567"/>
        <w:jc w:val="both"/>
        <w:rPr>
          <w:rFonts w:ascii="Tahoma" w:hAnsi="Tahoma" w:cs="Tahoma"/>
          <w:i/>
          <w:sz w:val="22"/>
          <w:szCs w:val="22"/>
        </w:rPr>
      </w:pPr>
    </w:p>
    <w:p w:rsidR="00C10F49" w:rsidRDefault="00C10F49" w:rsidP="009613E2">
      <w:pPr>
        <w:ind w:left="567"/>
        <w:jc w:val="both"/>
        <w:rPr>
          <w:rFonts w:ascii="Tahoma" w:hAnsi="Tahoma" w:cs="Tahoma"/>
          <w:i/>
          <w:sz w:val="22"/>
          <w:szCs w:val="22"/>
        </w:rPr>
      </w:pPr>
    </w:p>
    <w:p w:rsidR="00C10F49" w:rsidRDefault="00C10F49" w:rsidP="009613E2">
      <w:pPr>
        <w:ind w:left="567"/>
        <w:jc w:val="both"/>
        <w:rPr>
          <w:rFonts w:ascii="Tahoma" w:hAnsi="Tahoma" w:cs="Tahoma"/>
          <w:i/>
          <w:sz w:val="22"/>
          <w:szCs w:val="22"/>
        </w:rPr>
      </w:pPr>
    </w:p>
    <w:p w:rsidR="00C10F49" w:rsidRDefault="00C10F49" w:rsidP="009613E2">
      <w:pPr>
        <w:ind w:left="567"/>
        <w:jc w:val="both"/>
        <w:rPr>
          <w:rFonts w:ascii="Tahoma" w:hAnsi="Tahoma" w:cs="Tahoma"/>
          <w:i/>
          <w:sz w:val="22"/>
          <w:szCs w:val="22"/>
        </w:rPr>
      </w:pPr>
    </w:p>
    <w:p w:rsidR="00C10F49" w:rsidRDefault="00C10F49" w:rsidP="009613E2">
      <w:pPr>
        <w:ind w:left="567"/>
        <w:jc w:val="both"/>
        <w:rPr>
          <w:rFonts w:ascii="Tahoma" w:hAnsi="Tahoma" w:cs="Tahoma"/>
          <w:i/>
          <w:sz w:val="22"/>
          <w:szCs w:val="22"/>
        </w:rPr>
      </w:pPr>
    </w:p>
    <w:p w:rsidR="00C10F49" w:rsidRDefault="00C10F49" w:rsidP="009613E2">
      <w:pPr>
        <w:ind w:left="567"/>
        <w:jc w:val="both"/>
        <w:rPr>
          <w:rFonts w:ascii="Tahoma" w:hAnsi="Tahoma" w:cs="Tahoma"/>
          <w:i/>
          <w:sz w:val="22"/>
          <w:szCs w:val="22"/>
        </w:rPr>
      </w:pPr>
    </w:p>
    <w:p w:rsidR="00C10F49" w:rsidRPr="00320965" w:rsidRDefault="00C10F49" w:rsidP="009613E2">
      <w:pPr>
        <w:ind w:left="567"/>
        <w:jc w:val="both"/>
        <w:rPr>
          <w:rFonts w:ascii="Tahoma" w:hAnsi="Tahoma" w:cs="Tahoma"/>
          <w:i/>
          <w:sz w:val="22"/>
          <w:szCs w:val="22"/>
        </w:rPr>
      </w:pPr>
    </w:p>
    <w:p w:rsidR="009613E2" w:rsidRPr="00320965" w:rsidRDefault="009613E2" w:rsidP="009613E2">
      <w:pPr>
        <w:ind w:left="567"/>
        <w:jc w:val="both"/>
        <w:rPr>
          <w:rFonts w:ascii="Tahoma" w:hAnsi="Tahoma" w:cs="Tahoma"/>
          <w:i/>
          <w:sz w:val="22"/>
          <w:szCs w:val="22"/>
        </w:rPr>
      </w:pPr>
    </w:p>
    <w:p w:rsidR="009613E2" w:rsidRPr="00320965" w:rsidRDefault="004F189A" w:rsidP="009613E2">
      <w:pPr>
        <w:ind w:left="567"/>
        <w:jc w:val="center"/>
        <w:rPr>
          <w:rFonts w:ascii="Tahoma" w:hAnsi="Tahoma" w:cs="Tahoma"/>
          <w:sz w:val="22"/>
          <w:szCs w:val="22"/>
        </w:rPr>
      </w:pPr>
      <w:r>
        <w:rPr>
          <w:rFonts w:ascii="Tahoma" w:hAnsi="Tahoma" w:cs="Tahoma"/>
          <w:noProof/>
          <w:sz w:val="22"/>
          <w:szCs w:val="22"/>
          <w:lang w:eastAsia="en-US"/>
        </w:rPr>
        <w:pict>
          <v:shape id="_x0000_s1027" type="#_x0000_t202" style="position:absolute;left:0;text-align:left;margin-left:31.65pt;margin-top:.4pt;width:391.3pt;height:227.6pt;z-index:251661312;mso-width-relative:margin;mso-height-relative:margin">
            <v:textbox>
              <w:txbxContent>
                <w:p w:rsidR="00320965" w:rsidRPr="00403E70" w:rsidRDefault="00320965" w:rsidP="009613E2">
                  <w:pPr>
                    <w:jc w:val="both"/>
                    <w:rPr>
                      <w:rFonts w:ascii="Tahoma" w:hAnsi="Tahoma" w:cs="Tahoma"/>
                      <w:i/>
                      <w:sz w:val="22"/>
                      <w:szCs w:val="22"/>
                    </w:rPr>
                  </w:pPr>
                </w:p>
                <w:p w:rsidR="00320965" w:rsidRDefault="00320965" w:rsidP="009613E2">
                  <w:pPr>
                    <w:ind w:left="567"/>
                    <w:jc w:val="center"/>
                    <w:rPr>
                      <w:rFonts w:ascii="Tahoma" w:hAnsi="Tahoma" w:cs="Tahoma"/>
                      <w:b/>
                      <w:sz w:val="22"/>
                      <w:szCs w:val="22"/>
                    </w:rPr>
                  </w:pPr>
                  <w:r w:rsidRPr="00403E70">
                    <w:rPr>
                      <w:rFonts w:ascii="Tahoma" w:hAnsi="Tahoma" w:cs="Tahoma"/>
                      <w:b/>
                      <w:sz w:val="22"/>
                      <w:szCs w:val="22"/>
                    </w:rPr>
                    <w:t>FORMATO Nº 3</w:t>
                  </w:r>
                </w:p>
                <w:p w:rsidR="00320965" w:rsidRDefault="00320965" w:rsidP="009613E2">
                  <w:pPr>
                    <w:jc w:val="center"/>
                    <w:rPr>
                      <w:rFonts w:ascii="Tahoma" w:hAnsi="Tahoma" w:cs="Tahoma"/>
                      <w:sz w:val="22"/>
                      <w:szCs w:val="22"/>
                    </w:rPr>
                  </w:pPr>
                  <w:r>
                    <w:rPr>
                      <w:rFonts w:ascii="Tahoma" w:hAnsi="Tahoma" w:cs="Tahoma"/>
                      <w:sz w:val="22"/>
                      <w:szCs w:val="22"/>
                    </w:rPr>
                    <w:t xml:space="preserve"> (De acuerdo al Capítulo III de la Sección Específica)</w:t>
                  </w:r>
                </w:p>
                <w:p w:rsidR="00320965" w:rsidRDefault="00320965" w:rsidP="009613E2">
                  <w:pPr>
                    <w:jc w:val="center"/>
                    <w:rPr>
                      <w:rFonts w:ascii="Tahoma" w:hAnsi="Tahoma" w:cs="Tahoma"/>
                      <w:sz w:val="22"/>
                      <w:szCs w:val="22"/>
                    </w:rPr>
                  </w:pPr>
                </w:p>
                <w:p w:rsidR="00320965" w:rsidRDefault="00320965" w:rsidP="009613E2">
                  <w:pPr>
                    <w:jc w:val="center"/>
                    <w:rPr>
                      <w:rFonts w:ascii="Tahoma" w:hAnsi="Tahoma" w:cs="Tahoma"/>
                      <w:sz w:val="22"/>
                      <w:szCs w:val="22"/>
                    </w:rPr>
                  </w:pPr>
                  <w:r>
                    <w:rPr>
                      <w:rFonts w:ascii="Tahoma" w:hAnsi="Tahoma" w:cs="Tahoma"/>
                      <w:sz w:val="22"/>
                      <w:szCs w:val="22"/>
                    </w:rPr>
                    <w:t>PROFESIONALES Y TECNICOS REQUERIDOS</w:t>
                  </w:r>
                </w:p>
                <w:tbl>
                  <w:tblPr>
                    <w:tblStyle w:val="Tablaconcuadrcula"/>
                    <w:tblW w:w="0" w:type="auto"/>
                    <w:tblInd w:w="567" w:type="dxa"/>
                    <w:tblLook w:val="04A0"/>
                  </w:tblPr>
                  <w:tblGrid>
                    <w:gridCol w:w="1593"/>
                    <w:gridCol w:w="5578"/>
                  </w:tblGrid>
                  <w:tr w:rsidR="00320965" w:rsidTr="00320965">
                    <w:tc>
                      <w:tcPr>
                        <w:tcW w:w="1668" w:type="dxa"/>
                      </w:tcPr>
                      <w:p w:rsidR="00320965" w:rsidRDefault="00320965" w:rsidP="00320965">
                        <w:pPr>
                          <w:jc w:val="both"/>
                          <w:rPr>
                            <w:rFonts w:ascii="Tahoma" w:hAnsi="Tahoma" w:cs="Tahoma"/>
                          </w:rPr>
                        </w:pPr>
                        <w:r>
                          <w:rPr>
                            <w:rFonts w:ascii="Tahoma" w:hAnsi="Tahoma" w:cs="Tahoma"/>
                          </w:rPr>
                          <w:t>CANTIDAD</w:t>
                        </w:r>
                      </w:p>
                    </w:tc>
                    <w:tc>
                      <w:tcPr>
                        <w:tcW w:w="6485" w:type="dxa"/>
                      </w:tcPr>
                      <w:p w:rsidR="00320965" w:rsidRDefault="00320965" w:rsidP="00320965">
                        <w:pPr>
                          <w:jc w:val="both"/>
                          <w:rPr>
                            <w:rFonts w:ascii="Tahoma" w:hAnsi="Tahoma" w:cs="Tahoma"/>
                          </w:rPr>
                        </w:pPr>
                        <w:r>
                          <w:rPr>
                            <w:rFonts w:ascii="Tahoma" w:hAnsi="Tahoma" w:cs="Tahoma"/>
                          </w:rPr>
                          <w:t>REALCION DE PERSONAL PROFESIONAL Y PERSONAL TECNICO</w:t>
                        </w:r>
                      </w:p>
                    </w:tc>
                  </w:tr>
                  <w:tr w:rsidR="00320965" w:rsidTr="00320965">
                    <w:tc>
                      <w:tcPr>
                        <w:tcW w:w="1668" w:type="dxa"/>
                      </w:tcPr>
                      <w:p w:rsidR="00320965" w:rsidRDefault="00320965" w:rsidP="00320965">
                        <w:pPr>
                          <w:jc w:val="both"/>
                          <w:rPr>
                            <w:rFonts w:ascii="Tahoma" w:hAnsi="Tahoma" w:cs="Tahoma"/>
                          </w:rPr>
                        </w:pPr>
                      </w:p>
                    </w:tc>
                    <w:tc>
                      <w:tcPr>
                        <w:tcW w:w="6485" w:type="dxa"/>
                      </w:tcPr>
                      <w:p w:rsidR="00320965" w:rsidRDefault="00320965" w:rsidP="00320965">
                        <w:pPr>
                          <w:jc w:val="both"/>
                          <w:rPr>
                            <w:rFonts w:ascii="Tahoma" w:hAnsi="Tahoma" w:cs="Tahoma"/>
                          </w:rPr>
                        </w:pPr>
                      </w:p>
                    </w:tc>
                  </w:tr>
                  <w:tr w:rsidR="00320965" w:rsidTr="00320965">
                    <w:tc>
                      <w:tcPr>
                        <w:tcW w:w="1668" w:type="dxa"/>
                      </w:tcPr>
                      <w:p w:rsidR="00320965" w:rsidRDefault="00320965" w:rsidP="00320965">
                        <w:pPr>
                          <w:jc w:val="both"/>
                          <w:rPr>
                            <w:rFonts w:ascii="Tahoma" w:hAnsi="Tahoma" w:cs="Tahoma"/>
                          </w:rPr>
                        </w:pPr>
                      </w:p>
                    </w:tc>
                    <w:tc>
                      <w:tcPr>
                        <w:tcW w:w="6485" w:type="dxa"/>
                      </w:tcPr>
                      <w:p w:rsidR="00320965" w:rsidRDefault="00320965" w:rsidP="00320965">
                        <w:pPr>
                          <w:jc w:val="both"/>
                          <w:rPr>
                            <w:rFonts w:ascii="Tahoma" w:hAnsi="Tahoma" w:cs="Tahoma"/>
                          </w:rPr>
                        </w:pPr>
                      </w:p>
                    </w:tc>
                  </w:tr>
                  <w:tr w:rsidR="00320965" w:rsidTr="00320965">
                    <w:tc>
                      <w:tcPr>
                        <w:tcW w:w="1668" w:type="dxa"/>
                      </w:tcPr>
                      <w:p w:rsidR="00320965" w:rsidRDefault="00320965" w:rsidP="00320965">
                        <w:pPr>
                          <w:jc w:val="both"/>
                          <w:rPr>
                            <w:rFonts w:ascii="Tahoma" w:hAnsi="Tahoma" w:cs="Tahoma"/>
                          </w:rPr>
                        </w:pPr>
                      </w:p>
                    </w:tc>
                    <w:tc>
                      <w:tcPr>
                        <w:tcW w:w="6485" w:type="dxa"/>
                      </w:tcPr>
                      <w:p w:rsidR="00320965" w:rsidRDefault="00320965" w:rsidP="00320965">
                        <w:pPr>
                          <w:jc w:val="both"/>
                          <w:rPr>
                            <w:rFonts w:ascii="Tahoma" w:hAnsi="Tahoma" w:cs="Tahoma"/>
                          </w:rPr>
                        </w:pPr>
                      </w:p>
                    </w:tc>
                  </w:tr>
                </w:tbl>
                <w:p w:rsidR="00320965" w:rsidRDefault="00320965" w:rsidP="009613E2">
                  <w:pPr>
                    <w:ind w:left="567"/>
                    <w:jc w:val="both"/>
                    <w:rPr>
                      <w:rFonts w:ascii="Tahoma" w:hAnsi="Tahoma" w:cs="Tahoma"/>
                      <w:sz w:val="22"/>
                      <w:szCs w:val="22"/>
                    </w:rPr>
                  </w:pPr>
                </w:p>
                <w:p w:rsidR="00320965" w:rsidRDefault="00320965" w:rsidP="009613E2">
                  <w:pPr>
                    <w:ind w:left="567"/>
                    <w:jc w:val="center"/>
                    <w:rPr>
                      <w:rFonts w:ascii="Tahoma" w:hAnsi="Tahoma" w:cs="Tahoma"/>
                      <w:sz w:val="22"/>
                      <w:szCs w:val="22"/>
                    </w:rPr>
                  </w:pPr>
                  <w:r>
                    <w:rPr>
                      <w:rFonts w:ascii="Tahoma" w:hAnsi="Tahoma" w:cs="Tahoma"/>
                      <w:sz w:val="22"/>
                      <w:szCs w:val="22"/>
                    </w:rPr>
                    <w:t>EQUIPOS REQUERIDOS</w:t>
                  </w:r>
                </w:p>
                <w:tbl>
                  <w:tblPr>
                    <w:tblStyle w:val="Tablaconcuadrcula"/>
                    <w:tblW w:w="0" w:type="auto"/>
                    <w:tblInd w:w="567" w:type="dxa"/>
                    <w:tblLook w:val="04A0"/>
                  </w:tblPr>
                  <w:tblGrid>
                    <w:gridCol w:w="3590"/>
                    <w:gridCol w:w="3581"/>
                  </w:tblGrid>
                  <w:tr w:rsidR="00320965" w:rsidTr="00320965">
                    <w:tc>
                      <w:tcPr>
                        <w:tcW w:w="3590" w:type="dxa"/>
                      </w:tcPr>
                      <w:p w:rsidR="00320965" w:rsidRDefault="00320965" w:rsidP="00320965">
                        <w:pPr>
                          <w:jc w:val="center"/>
                          <w:rPr>
                            <w:rFonts w:ascii="Tahoma" w:hAnsi="Tahoma" w:cs="Tahoma"/>
                          </w:rPr>
                        </w:pPr>
                        <w:r>
                          <w:rPr>
                            <w:rFonts w:ascii="Tahoma" w:hAnsi="Tahoma" w:cs="Tahoma"/>
                          </w:rPr>
                          <w:t>CANTIDAD</w:t>
                        </w:r>
                      </w:p>
                    </w:tc>
                    <w:tc>
                      <w:tcPr>
                        <w:tcW w:w="3581" w:type="dxa"/>
                      </w:tcPr>
                      <w:p w:rsidR="00320965" w:rsidRDefault="00320965" w:rsidP="00320965">
                        <w:pPr>
                          <w:jc w:val="center"/>
                          <w:rPr>
                            <w:rFonts w:ascii="Tahoma" w:hAnsi="Tahoma" w:cs="Tahoma"/>
                          </w:rPr>
                        </w:pPr>
                        <w:r>
                          <w:rPr>
                            <w:rFonts w:ascii="Tahoma" w:hAnsi="Tahoma" w:cs="Tahoma"/>
                          </w:rPr>
                          <w:t>RELACION DE EQUIPOS</w:t>
                        </w:r>
                      </w:p>
                    </w:tc>
                  </w:tr>
                  <w:tr w:rsidR="00320965" w:rsidTr="00320965">
                    <w:tc>
                      <w:tcPr>
                        <w:tcW w:w="3590" w:type="dxa"/>
                      </w:tcPr>
                      <w:p w:rsidR="00320965" w:rsidRDefault="00320965" w:rsidP="00320965">
                        <w:pPr>
                          <w:jc w:val="center"/>
                          <w:rPr>
                            <w:rFonts w:ascii="Tahoma" w:hAnsi="Tahoma" w:cs="Tahoma"/>
                          </w:rPr>
                        </w:pPr>
                      </w:p>
                    </w:tc>
                    <w:tc>
                      <w:tcPr>
                        <w:tcW w:w="3581" w:type="dxa"/>
                      </w:tcPr>
                      <w:p w:rsidR="00320965" w:rsidRDefault="00320965" w:rsidP="00320965">
                        <w:pPr>
                          <w:jc w:val="center"/>
                          <w:rPr>
                            <w:rFonts w:ascii="Tahoma" w:hAnsi="Tahoma" w:cs="Tahoma"/>
                          </w:rPr>
                        </w:pPr>
                      </w:p>
                    </w:tc>
                  </w:tr>
                  <w:tr w:rsidR="00320965" w:rsidTr="00320965">
                    <w:tc>
                      <w:tcPr>
                        <w:tcW w:w="3590" w:type="dxa"/>
                      </w:tcPr>
                      <w:p w:rsidR="00320965" w:rsidRDefault="00320965" w:rsidP="00320965">
                        <w:pPr>
                          <w:jc w:val="center"/>
                          <w:rPr>
                            <w:rFonts w:ascii="Tahoma" w:hAnsi="Tahoma" w:cs="Tahoma"/>
                          </w:rPr>
                        </w:pPr>
                      </w:p>
                    </w:tc>
                    <w:tc>
                      <w:tcPr>
                        <w:tcW w:w="3581" w:type="dxa"/>
                      </w:tcPr>
                      <w:p w:rsidR="00320965" w:rsidRDefault="00320965" w:rsidP="00320965">
                        <w:pPr>
                          <w:jc w:val="center"/>
                          <w:rPr>
                            <w:rFonts w:ascii="Tahoma" w:hAnsi="Tahoma" w:cs="Tahoma"/>
                          </w:rPr>
                        </w:pPr>
                      </w:p>
                    </w:tc>
                  </w:tr>
                </w:tbl>
                <w:p w:rsidR="00320965" w:rsidRDefault="00320965" w:rsidP="009613E2"/>
              </w:txbxContent>
            </v:textbox>
          </v:shape>
        </w:pict>
      </w:r>
    </w:p>
    <w:p w:rsidR="009613E2" w:rsidRPr="00320965" w:rsidRDefault="009613E2" w:rsidP="009613E2">
      <w:pPr>
        <w:ind w:left="567"/>
        <w:jc w:val="center"/>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Pr="00320965" w:rsidRDefault="009613E2" w:rsidP="009613E2">
      <w:pPr>
        <w:jc w:val="both"/>
        <w:rPr>
          <w:rFonts w:ascii="Tahoma" w:hAnsi="Tahoma" w:cs="Tahoma"/>
          <w:sz w:val="22"/>
          <w:szCs w:val="22"/>
        </w:rPr>
      </w:pPr>
    </w:p>
    <w:p w:rsidR="009613E2" w:rsidRDefault="009613E2" w:rsidP="009613E2">
      <w:pPr>
        <w:jc w:val="both"/>
        <w:rPr>
          <w:rFonts w:ascii="Tahoma" w:hAnsi="Tahoma" w:cs="Tahoma"/>
          <w:sz w:val="22"/>
          <w:szCs w:val="22"/>
        </w:rPr>
      </w:pPr>
    </w:p>
    <w:p w:rsidR="00C10F49" w:rsidRDefault="00C10F49" w:rsidP="009613E2">
      <w:pPr>
        <w:jc w:val="both"/>
        <w:rPr>
          <w:rFonts w:ascii="Tahoma" w:hAnsi="Tahoma" w:cs="Tahoma"/>
          <w:sz w:val="22"/>
          <w:szCs w:val="22"/>
        </w:rPr>
      </w:pPr>
    </w:p>
    <w:p w:rsidR="00C10F49" w:rsidRDefault="00C10F49" w:rsidP="009613E2">
      <w:pPr>
        <w:jc w:val="both"/>
        <w:rPr>
          <w:rFonts w:ascii="Tahoma" w:hAnsi="Tahoma" w:cs="Tahoma"/>
          <w:sz w:val="22"/>
          <w:szCs w:val="22"/>
        </w:rPr>
      </w:pPr>
    </w:p>
    <w:p w:rsidR="00C10F49" w:rsidRPr="00320965" w:rsidRDefault="00C10F49" w:rsidP="009613E2">
      <w:pPr>
        <w:jc w:val="both"/>
        <w:rPr>
          <w:rFonts w:ascii="Tahoma" w:hAnsi="Tahoma" w:cs="Tahoma"/>
          <w:sz w:val="22"/>
          <w:szCs w:val="22"/>
        </w:rPr>
      </w:pPr>
    </w:p>
    <w:p w:rsidR="009613E2" w:rsidRPr="00320965" w:rsidRDefault="009613E2" w:rsidP="009613E2">
      <w:pPr>
        <w:numPr>
          <w:ilvl w:val="0"/>
          <w:numId w:val="10"/>
        </w:numPr>
        <w:tabs>
          <w:tab w:val="num" w:pos="567"/>
        </w:tabs>
        <w:ind w:left="567" w:hanging="567"/>
        <w:jc w:val="both"/>
        <w:rPr>
          <w:rFonts w:ascii="Tahoma" w:hAnsi="Tahoma" w:cs="Tahoma"/>
          <w:sz w:val="22"/>
          <w:szCs w:val="22"/>
        </w:rPr>
      </w:pPr>
      <w:r w:rsidRPr="00320965">
        <w:rPr>
          <w:rFonts w:ascii="Tahoma" w:hAnsi="Tahoma" w:cs="Tahoma"/>
          <w:sz w:val="22"/>
          <w:szCs w:val="22"/>
        </w:rPr>
        <w:t>En torno a ello, la Entidad señala que las Bases no estipulan qué documentos, cuántos o cómo debe acreditarse el cumplimiento de los RTM, sin embargo, se puede apreciar que tanto para el caso del residente de obra y de la maquinaria, las Bases expresan que, a fin de acreditar la experiencia del Residente éste deberá presentar contratos, actas de recepción o terminación de obra y para el caso de maquinaria, documentos que acrediten la antigüedad de la maquinaria (entiéndase todo aquel documento que acredite que la maquinaria no tiene una antigüedad mayor a diez años).</w:t>
      </w:r>
    </w:p>
    <w:p w:rsidR="009613E2" w:rsidRPr="00320965" w:rsidRDefault="009613E2" w:rsidP="009613E2">
      <w:pPr>
        <w:ind w:left="567"/>
        <w:jc w:val="both"/>
        <w:rPr>
          <w:rFonts w:ascii="Tahoma" w:hAnsi="Tahoma" w:cs="Tahoma"/>
          <w:sz w:val="22"/>
          <w:szCs w:val="22"/>
        </w:rPr>
      </w:pPr>
      <w:r w:rsidRPr="00320965">
        <w:rPr>
          <w:rFonts w:ascii="Tahoma" w:hAnsi="Tahoma" w:cs="Tahoma"/>
          <w:sz w:val="22"/>
          <w:szCs w:val="22"/>
        </w:rPr>
        <w:t>Respecto a esto último, los postores presentaron como parte de su Propuesta Técnica Tarjetas de Propiedad, Boletas, Facturas, SOAT, etc.</w:t>
      </w:r>
    </w:p>
    <w:p w:rsidR="009613E2" w:rsidRPr="00320965" w:rsidRDefault="009613E2" w:rsidP="009613E2">
      <w:pPr>
        <w:ind w:left="567"/>
        <w:jc w:val="both"/>
        <w:rPr>
          <w:rFonts w:ascii="Tahoma" w:hAnsi="Tahoma" w:cs="Tahoma"/>
          <w:sz w:val="22"/>
          <w:szCs w:val="22"/>
        </w:rPr>
      </w:pPr>
    </w:p>
    <w:p w:rsidR="009613E2" w:rsidRPr="00320965" w:rsidRDefault="009613E2" w:rsidP="009613E2">
      <w:pPr>
        <w:numPr>
          <w:ilvl w:val="0"/>
          <w:numId w:val="10"/>
        </w:numPr>
        <w:tabs>
          <w:tab w:val="num" w:pos="567"/>
        </w:tabs>
        <w:ind w:left="567" w:hanging="567"/>
        <w:jc w:val="both"/>
        <w:rPr>
          <w:rFonts w:ascii="Tahoma" w:hAnsi="Tahoma" w:cs="Tahoma"/>
          <w:sz w:val="22"/>
          <w:szCs w:val="22"/>
        </w:rPr>
      </w:pPr>
      <w:r w:rsidRPr="00320965">
        <w:rPr>
          <w:rFonts w:ascii="Tahoma" w:hAnsi="Tahoma" w:cs="Tahoma"/>
          <w:sz w:val="22"/>
          <w:szCs w:val="22"/>
        </w:rPr>
        <w:t xml:space="preserve">El procedimiento a fin de acreditar el cumplimiento de los RTM se estableció adicionalmente a la presentación de los documentos ya mencionados, la presentación de los Formatos 3 y 4; por lo tanto, no se evidencia la falta de lineamientos respecto de la documentación pertinente para la presentación de la Propuesta Técnica a fin de acreditar lo referente al Residente de Obra y la maquinaria, más aun teniendo en cuenta que fue el Comité Especial quien validó la documentación presentada por los Postores: La Pauca Construcción y Servicios Generales EIRL, S &amp;G Servicios Generales y Corporación Brillantina SRL, tal como se desprende de la lectura del Acta de Apertura y Evaluación de Propuestas y Otorgamiento de la Buena Pro, donde S&amp;G Servicios Generales y Corporación Brillantina </w:t>
      </w:r>
      <w:r w:rsidRPr="00320965">
        <w:rPr>
          <w:rFonts w:ascii="Tahoma" w:hAnsi="Tahoma" w:cs="Tahoma"/>
          <w:sz w:val="22"/>
          <w:szCs w:val="22"/>
          <w:u w:val="single"/>
        </w:rPr>
        <w:t>fueron admitidas</w:t>
      </w:r>
      <w:r w:rsidRPr="00320965">
        <w:rPr>
          <w:rFonts w:ascii="Tahoma" w:hAnsi="Tahoma" w:cs="Tahoma"/>
          <w:sz w:val="22"/>
          <w:szCs w:val="22"/>
        </w:rPr>
        <w:t xml:space="preserve"> y no así La Pauca Construcción y Servicios Generales EIRL, quien no cumplió con la presentación de la documentación que acreditaba el cumplimiento de los RTM, por lo que no fue admitida su Propuesta.</w:t>
      </w:r>
    </w:p>
    <w:p w:rsidR="009613E2" w:rsidRDefault="009613E2" w:rsidP="009613E2">
      <w:pPr>
        <w:ind w:left="567"/>
        <w:jc w:val="both"/>
        <w:rPr>
          <w:rFonts w:ascii="Tahoma" w:hAnsi="Tahoma" w:cs="Tahoma"/>
          <w:sz w:val="22"/>
          <w:szCs w:val="22"/>
        </w:rPr>
      </w:pPr>
    </w:p>
    <w:p w:rsidR="00C10F49" w:rsidRPr="00320965" w:rsidRDefault="00C10F49" w:rsidP="009613E2">
      <w:pPr>
        <w:ind w:left="567"/>
        <w:jc w:val="both"/>
        <w:rPr>
          <w:rFonts w:ascii="Tahoma" w:hAnsi="Tahoma" w:cs="Tahoma"/>
          <w:sz w:val="22"/>
          <w:szCs w:val="22"/>
        </w:rPr>
      </w:pPr>
    </w:p>
    <w:p w:rsidR="009613E2" w:rsidRPr="00320965" w:rsidRDefault="009613E2" w:rsidP="009613E2">
      <w:pPr>
        <w:numPr>
          <w:ilvl w:val="0"/>
          <w:numId w:val="10"/>
        </w:numPr>
        <w:tabs>
          <w:tab w:val="num" w:pos="567"/>
        </w:tabs>
        <w:ind w:left="567" w:hanging="567"/>
        <w:jc w:val="both"/>
        <w:rPr>
          <w:rFonts w:ascii="Tahoma" w:hAnsi="Tahoma" w:cs="Tahoma"/>
          <w:sz w:val="22"/>
          <w:szCs w:val="22"/>
        </w:rPr>
      </w:pPr>
      <w:r w:rsidRPr="00320965">
        <w:rPr>
          <w:rFonts w:ascii="Tahoma" w:hAnsi="Tahoma" w:cs="Tahoma"/>
          <w:sz w:val="22"/>
          <w:szCs w:val="22"/>
          <w:lang w:val="es-ES_tradnl"/>
        </w:rPr>
        <w:lastRenderedPageBreak/>
        <w:t>Como se puede advertir, resulta amparable el cuestionamiento realizado por el Apelante, toda vez que los considerandos de la Resolución de Alcaldía</w:t>
      </w:r>
      <w:r w:rsidRPr="00320965">
        <w:rPr>
          <w:rFonts w:ascii="Tahoma" w:hAnsi="Tahoma" w:cs="Tahoma"/>
          <w:sz w:val="22"/>
          <w:szCs w:val="22"/>
        </w:rPr>
        <w:t xml:space="preserve"> Nº 012-2011-MPSP/A de fecha 12 de enero de 2011, emitida por la Municipalidad Provincial de San Pablo y que motivó la declaración de nulidad del proceso Adjudicación de Menor Cuantía Nº 022-2010-MPSP/CEP no son sustentables según el análisis formulado al respecto.</w:t>
      </w:r>
    </w:p>
    <w:p w:rsidR="009613E2" w:rsidRPr="00320965" w:rsidRDefault="009613E2" w:rsidP="009613E2">
      <w:pPr>
        <w:tabs>
          <w:tab w:val="num" w:pos="567"/>
        </w:tabs>
        <w:jc w:val="both"/>
        <w:rPr>
          <w:rFonts w:ascii="Tahoma" w:hAnsi="Tahoma" w:cs="Tahoma"/>
          <w:sz w:val="22"/>
          <w:szCs w:val="22"/>
        </w:rPr>
      </w:pPr>
    </w:p>
    <w:p w:rsidR="009613E2" w:rsidRPr="00320965" w:rsidRDefault="009613E2" w:rsidP="009613E2">
      <w:pPr>
        <w:numPr>
          <w:ilvl w:val="0"/>
          <w:numId w:val="10"/>
        </w:numPr>
        <w:tabs>
          <w:tab w:val="left" w:pos="567"/>
        </w:tabs>
        <w:ind w:left="567" w:hanging="567"/>
        <w:jc w:val="both"/>
        <w:rPr>
          <w:rFonts w:ascii="Tahoma" w:hAnsi="Tahoma" w:cs="Tahoma"/>
          <w:sz w:val="22"/>
          <w:szCs w:val="22"/>
        </w:rPr>
      </w:pPr>
      <w:r w:rsidRPr="00320965">
        <w:rPr>
          <w:rFonts w:ascii="Tahoma" w:hAnsi="Tahoma" w:cs="Tahoma"/>
          <w:sz w:val="22"/>
          <w:szCs w:val="22"/>
        </w:rPr>
        <w:t xml:space="preserve">En conclusión, y en base a los argumentos expuestos, en aplicación de lo dispuesto en el numeral 2) del artículo 119º del Reglamento, corresponde declarar fundado el recurso de apelación interpuesto por la empresa Corporación Brillantina SRL, contra la nulidad del proceso de selección declarada mediante la </w:t>
      </w:r>
      <w:r w:rsidRPr="00320965">
        <w:rPr>
          <w:rFonts w:ascii="Tahoma" w:hAnsi="Tahoma" w:cs="Tahoma"/>
          <w:sz w:val="22"/>
          <w:szCs w:val="22"/>
          <w:lang w:val="es-ES_tradnl"/>
        </w:rPr>
        <w:t>Resolución de Alcaldía</w:t>
      </w:r>
      <w:r w:rsidRPr="00320965">
        <w:rPr>
          <w:rFonts w:ascii="Tahoma" w:hAnsi="Tahoma" w:cs="Tahoma"/>
          <w:sz w:val="22"/>
          <w:szCs w:val="22"/>
        </w:rPr>
        <w:t xml:space="preserve"> Nº 012-2011-MPSP/A de fecha 12 de enero de 2011 y, por su efecto, ratifíquesele el otorgamiento de la Buena Pro del proceso de Adjudicación de Menor Cuantía Nº 022-2010-MPSP/CEP.</w:t>
      </w:r>
    </w:p>
    <w:p w:rsidR="009613E2" w:rsidRPr="00320965" w:rsidRDefault="009613E2" w:rsidP="009613E2">
      <w:pPr>
        <w:pStyle w:val="Prrafodelista"/>
        <w:rPr>
          <w:rFonts w:ascii="Tahoma" w:hAnsi="Tahoma" w:cs="Tahoma"/>
          <w:sz w:val="22"/>
          <w:szCs w:val="22"/>
        </w:rPr>
      </w:pPr>
    </w:p>
    <w:p w:rsidR="00486D4B" w:rsidRPr="00320965" w:rsidRDefault="009613E2" w:rsidP="00486D4B">
      <w:pPr>
        <w:numPr>
          <w:ilvl w:val="0"/>
          <w:numId w:val="10"/>
        </w:numPr>
        <w:tabs>
          <w:tab w:val="left" w:pos="567"/>
        </w:tabs>
        <w:ind w:left="567" w:hanging="567"/>
        <w:jc w:val="both"/>
        <w:rPr>
          <w:rFonts w:ascii="Tahoma" w:hAnsi="Tahoma" w:cs="Tahoma"/>
          <w:sz w:val="22"/>
          <w:szCs w:val="22"/>
        </w:rPr>
      </w:pPr>
      <w:r w:rsidRPr="00320965">
        <w:rPr>
          <w:rFonts w:ascii="Tahoma" w:hAnsi="Tahoma" w:cs="Tahoma"/>
          <w:sz w:val="22"/>
          <w:szCs w:val="22"/>
        </w:rPr>
        <w:t>Sin perjuicio de lo mencionado cabe poner en conocimiento del Órgano de Control Interno de la Entidad y de la Contraloría General de la República los hechos expuestos, así como el hecho que la Entidad no remitiera a este Tribunal los antecedentes administrativos solicitados en forma reiterada, asimismo se hace de conocimiento la inobservancia de parte de la Entidad de la normativa de Contrataciones en el desarrollo del proceso de selección, teniendo en cuenta que no se registró en el SEACE la publicación del recurso de apelación interpuesto por el Sr. Aníbal Silva Gallardo, representante legal de la empresa S&amp;G Servicios Generales EIRL en contra del acto de calificación y otorgamiento de la Buena Pro del Proceso de Adjudicación de Menor Cuantía Nº 022-2010-MPSP/CEP a la empresa Corporación Brillantina SRL, así como tampoco se corrió traslado a dicha empresa del Recurso citado.</w:t>
      </w:r>
    </w:p>
    <w:p w:rsidR="009613E2" w:rsidRPr="00320965" w:rsidRDefault="009613E2" w:rsidP="009613E2">
      <w:pPr>
        <w:tabs>
          <w:tab w:val="left" w:pos="567"/>
        </w:tabs>
        <w:ind w:left="567"/>
        <w:jc w:val="both"/>
        <w:rPr>
          <w:rFonts w:ascii="Tahoma" w:hAnsi="Tahoma" w:cs="Tahoma"/>
          <w:sz w:val="22"/>
          <w:szCs w:val="22"/>
        </w:rPr>
      </w:pPr>
    </w:p>
    <w:p w:rsidR="00486D4B" w:rsidRPr="00320965" w:rsidRDefault="00486D4B" w:rsidP="00486D4B">
      <w:pPr>
        <w:tabs>
          <w:tab w:val="left" w:pos="567"/>
        </w:tabs>
        <w:autoSpaceDE w:val="0"/>
        <w:autoSpaceDN w:val="0"/>
        <w:adjustRightInd w:val="0"/>
        <w:ind w:left="567" w:hanging="1440"/>
        <w:jc w:val="both"/>
        <w:rPr>
          <w:rFonts w:ascii="Tahoma" w:eastAsiaTheme="minorHAnsi" w:hAnsi="Tahoma" w:cs="Tahoma"/>
          <w:color w:val="000000"/>
          <w:sz w:val="22"/>
          <w:szCs w:val="22"/>
          <w:lang w:eastAsia="en-US"/>
        </w:rPr>
      </w:pPr>
      <w:r w:rsidRPr="00320965">
        <w:rPr>
          <w:rFonts w:ascii="Tahoma" w:eastAsiaTheme="minorHAnsi" w:hAnsi="Tahoma" w:cs="Tahoma"/>
          <w:color w:val="000000"/>
          <w:sz w:val="22"/>
          <w:szCs w:val="22"/>
          <w:lang w:eastAsia="en-US"/>
        </w:rPr>
        <w:tab/>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486D4B" w:rsidRDefault="00486D4B" w:rsidP="00486D4B">
      <w:pPr>
        <w:ind w:firstLine="426"/>
        <w:jc w:val="both"/>
        <w:rPr>
          <w:rFonts w:ascii="Tahoma" w:hAnsi="Tahoma" w:cs="Tahoma"/>
          <w:sz w:val="22"/>
          <w:szCs w:val="22"/>
        </w:rPr>
      </w:pPr>
    </w:p>
    <w:p w:rsidR="00C10F49" w:rsidRDefault="00C10F49" w:rsidP="00486D4B">
      <w:pPr>
        <w:ind w:firstLine="426"/>
        <w:jc w:val="both"/>
        <w:rPr>
          <w:rFonts w:ascii="Tahoma" w:hAnsi="Tahoma" w:cs="Tahoma"/>
          <w:sz w:val="22"/>
          <w:szCs w:val="22"/>
        </w:rPr>
      </w:pPr>
    </w:p>
    <w:p w:rsidR="00C10F49" w:rsidRDefault="00C10F49" w:rsidP="00486D4B">
      <w:pPr>
        <w:ind w:firstLine="426"/>
        <w:jc w:val="both"/>
        <w:rPr>
          <w:rFonts w:ascii="Tahoma" w:hAnsi="Tahoma" w:cs="Tahoma"/>
          <w:sz w:val="22"/>
          <w:szCs w:val="22"/>
        </w:rPr>
      </w:pPr>
    </w:p>
    <w:p w:rsidR="00C10F49" w:rsidRDefault="00C10F49" w:rsidP="00486D4B">
      <w:pPr>
        <w:ind w:firstLine="426"/>
        <w:jc w:val="both"/>
        <w:rPr>
          <w:rFonts w:ascii="Tahoma" w:hAnsi="Tahoma" w:cs="Tahoma"/>
          <w:sz w:val="22"/>
          <w:szCs w:val="22"/>
        </w:rPr>
      </w:pPr>
    </w:p>
    <w:p w:rsidR="00C10F49" w:rsidRDefault="00C10F49" w:rsidP="00486D4B">
      <w:pPr>
        <w:ind w:firstLine="426"/>
        <w:jc w:val="both"/>
        <w:rPr>
          <w:rFonts w:ascii="Tahoma" w:hAnsi="Tahoma" w:cs="Tahoma"/>
          <w:sz w:val="22"/>
          <w:szCs w:val="22"/>
        </w:rPr>
      </w:pPr>
    </w:p>
    <w:p w:rsidR="00C10F49" w:rsidRPr="00320965" w:rsidRDefault="00C10F49" w:rsidP="00486D4B">
      <w:pPr>
        <w:ind w:firstLine="426"/>
        <w:jc w:val="both"/>
        <w:rPr>
          <w:rFonts w:ascii="Tahoma" w:hAnsi="Tahoma" w:cs="Tahoma"/>
          <w:sz w:val="22"/>
          <w:szCs w:val="22"/>
        </w:rPr>
      </w:pPr>
    </w:p>
    <w:p w:rsidR="00486D4B" w:rsidRPr="00320965" w:rsidRDefault="00486D4B" w:rsidP="00486D4B">
      <w:pPr>
        <w:ind w:firstLine="567"/>
        <w:jc w:val="both"/>
        <w:rPr>
          <w:rFonts w:ascii="Tahoma" w:hAnsi="Tahoma" w:cs="Tahoma"/>
          <w:b/>
          <w:sz w:val="22"/>
          <w:szCs w:val="22"/>
        </w:rPr>
      </w:pPr>
      <w:r w:rsidRPr="00320965">
        <w:rPr>
          <w:rFonts w:ascii="Tahoma" w:hAnsi="Tahoma" w:cs="Tahoma"/>
          <w:b/>
          <w:sz w:val="22"/>
          <w:szCs w:val="22"/>
        </w:rPr>
        <w:lastRenderedPageBreak/>
        <w:t xml:space="preserve">LA SALA RESUELVE: </w:t>
      </w:r>
    </w:p>
    <w:p w:rsidR="00C10F49" w:rsidRPr="00320965" w:rsidRDefault="00C10F49" w:rsidP="00486D4B">
      <w:pPr>
        <w:jc w:val="both"/>
        <w:rPr>
          <w:rFonts w:ascii="Tahoma" w:hAnsi="Tahoma" w:cs="Tahoma"/>
          <w:snapToGrid w:val="0"/>
          <w:sz w:val="22"/>
          <w:szCs w:val="22"/>
        </w:rPr>
      </w:pPr>
    </w:p>
    <w:p w:rsidR="009613E2" w:rsidRPr="00320965" w:rsidRDefault="009613E2" w:rsidP="009613E2">
      <w:pPr>
        <w:pStyle w:val="Prrafodelista"/>
        <w:widowControl/>
        <w:numPr>
          <w:ilvl w:val="0"/>
          <w:numId w:val="12"/>
        </w:numPr>
        <w:tabs>
          <w:tab w:val="clear" w:pos="720"/>
          <w:tab w:val="num" w:pos="567"/>
        </w:tabs>
        <w:suppressAutoHyphens w:val="0"/>
        <w:ind w:left="567" w:hanging="567"/>
        <w:contextualSpacing/>
        <w:jc w:val="both"/>
        <w:rPr>
          <w:rFonts w:ascii="Tahoma" w:hAnsi="Tahoma" w:cs="Tahoma"/>
          <w:sz w:val="22"/>
          <w:szCs w:val="22"/>
        </w:rPr>
      </w:pPr>
      <w:r w:rsidRPr="00320965">
        <w:rPr>
          <w:rFonts w:ascii="Tahoma" w:hAnsi="Tahoma" w:cs="Tahoma"/>
          <w:sz w:val="22"/>
          <w:szCs w:val="22"/>
        </w:rPr>
        <w:t xml:space="preserve">Declarar fundado el recurso de apelación interpuesto por la empresa </w:t>
      </w:r>
      <w:r w:rsidRPr="00320965">
        <w:rPr>
          <w:rFonts w:ascii="Tahoma" w:hAnsi="Tahoma" w:cs="Tahoma"/>
          <w:caps/>
          <w:sz w:val="22"/>
          <w:szCs w:val="22"/>
        </w:rPr>
        <w:t>Corporación Brillantina SRL</w:t>
      </w:r>
      <w:r w:rsidRPr="00320965">
        <w:rPr>
          <w:rFonts w:ascii="Tahoma" w:hAnsi="Tahoma" w:cs="Tahoma"/>
          <w:sz w:val="22"/>
          <w:szCs w:val="22"/>
        </w:rPr>
        <w:t xml:space="preserve"> contra la Resolución de Alcaldía Nº 012-2011-MPSP/A de fecha 12 de enero de 2011, emitida por la Municipalidad Provincial de San Pablo y que motivó la declaración de nulidad del proceso Adjudicación de Menor Cuantía Nº 022-2010-MPSP/CEP derivada de la Adjudicación Directa Selectiva Nº 010-2010-MPSP/CEP, convocado para la ejecución de la Obra: “Construcción Pavimento JR. Trujillo, tramo el Jr. Cajamarca y Av. Julian Cruzado-Ciudad de San Pablo, Distrito de San Pablo, Provincia de San Pablo-Cajamarca I Etapa”, por los  fundamentos expuestos.</w:t>
      </w:r>
    </w:p>
    <w:p w:rsidR="009613E2" w:rsidRPr="00320965" w:rsidRDefault="009613E2" w:rsidP="009613E2">
      <w:pPr>
        <w:pStyle w:val="Prrafodelista"/>
        <w:tabs>
          <w:tab w:val="num" w:pos="720"/>
        </w:tabs>
        <w:ind w:left="540"/>
        <w:contextualSpacing/>
        <w:jc w:val="both"/>
        <w:rPr>
          <w:rFonts w:ascii="Tahoma" w:hAnsi="Tahoma" w:cs="Tahoma"/>
          <w:sz w:val="22"/>
          <w:szCs w:val="22"/>
        </w:rPr>
      </w:pPr>
    </w:p>
    <w:p w:rsidR="009613E2" w:rsidRPr="00320965" w:rsidRDefault="009613E2" w:rsidP="009613E2">
      <w:pPr>
        <w:pStyle w:val="Prrafodelista"/>
        <w:widowControl/>
        <w:numPr>
          <w:ilvl w:val="0"/>
          <w:numId w:val="12"/>
        </w:numPr>
        <w:tabs>
          <w:tab w:val="clear" w:pos="720"/>
          <w:tab w:val="num" w:pos="540"/>
          <w:tab w:val="num" w:pos="567"/>
        </w:tabs>
        <w:suppressAutoHyphens w:val="0"/>
        <w:ind w:left="540" w:hanging="540"/>
        <w:contextualSpacing/>
        <w:jc w:val="both"/>
        <w:rPr>
          <w:rFonts w:ascii="Tahoma" w:hAnsi="Tahoma" w:cs="Tahoma"/>
          <w:sz w:val="22"/>
          <w:szCs w:val="22"/>
        </w:rPr>
      </w:pPr>
      <w:r w:rsidRPr="00320965">
        <w:rPr>
          <w:rFonts w:ascii="Tahoma" w:hAnsi="Tahoma" w:cs="Tahoma"/>
          <w:sz w:val="22"/>
          <w:szCs w:val="22"/>
        </w:rPr>
        <w:t>Declarar nula la Resolución de Alcaldía Nº 012-2011-MPSP/A de fecha 12 de enero de 2011, emitida por la Municipalidad Provincial de San Pablo.</w:t>
      </w:r>
    </w:p>
    <w:p w:rsidR="009613E2" w:rsidRPr="00320965" w:rsidRDefault="009613E2" w:rsidP="009613E2">
      <w:pPr>
        <w:pStyle w:val="Prrafodelista"/>
        <w:rPr>
          <w:rFonts w:ascii="Tahoma" w:hAnsi="Tahoma" w:cs="Tahoma"/>
          <w:sz w:val="22"/>
          <w:szCs w:val="22"/>
        </w:rPr>
      </w:pPr>
    </w:p>
    <w:p w:rsidR="009613E2" w:rsidRPr="00320965" w:rsidRDefault="009613E2" w:rsidP="009613E2">
      <w:pPr>
        <w:numPr>
          <w:ilvl w:val="0"/>
          <w:numId w:val="12"/>
        </w:numPr>
        <w:tabs>
          <w:tab w:val="clear" w:pos="720"/>
          <w:tab w:val="num" w:pos="540"/>
        </w:tabs>
        <w:ind w:left="540" w:hanging="540"/>
        <w:jc w:val="both"/>
        <w:rPr>
          <w:rFonts w:ascii="Tahoma" w:hAnsi="Tahoma" w:cs="Tahoma"/>
          <w:sz w:val="22"/>
          <w:szCs w:val="22"/>
        </w:rPr>
      </w:pPr>
      <w:r w:rsidRPr="00320965">
        <w:rPr>
          <w:rFonts w:ascii="Tahoma" w:hAnsi="Tahoma" w:cs="Tahoma"/>
          <w:sz w:val="22"/>
          <w:szCs w:val="22"/>
        </w:rPr>
        <w:t xml:space="preserve">Ratificar el otorgamiento de la buena pro del proceso de Adjudicación de Menor Cuantía Nº 022-2010-MPSP/CEP derivada de la Adjudicación Directa Selectiva Nº 010-2010-MPSP/CEP a favor de </w:t>
      </w:r>
      <w:r w:rsidRPr="00320965">
        <w:rPr>
          <w:rFonts w:ascii="Tahoma" w:hAnsi="Tahoma" w:cs="Tahoma"/>
          <w:caps/>
          <w:sz w:val="22"/>
          <w:szCs w:val="22"/>
        </w:rPr>
        <w:t>Corporación Brillantina SRL</w:t>
      </w:r>
      <w:r w:rsidRPr="00320965">
        <w:rPr>
          <w:rFonts w:ascii="Tahoma" w:hAnsi="Tahoma" w:cs="Tahoma"/>
          <w:sz w:val="22"/>
          <w:szCs w:val="22"/>
        </w:rPr>
        <w:t>, por los fundamentos expuestos.</w:t>
      </w:r>
    </w:p>
    <w:p w:rsidR="009613E2" w:rsidRPr="00320965" w:rsidRDefault="009613E2" w:rsidP="009613E2">
      <w:pPr>
        <w:ind w:left="540"/>
        <w:jc w:val="both"/>
        <w:rPr>
          <w:rFonts w:ascii="Tahoma" w:hAnsi="Tahoma" w:cs="Tahoma"/>
          <w:sz w:val="22"/>
          <w:szCs w:val="22"/>
          <w:highlight w:val="yellow"/>
        </w:rPr>
      </w:pPr>
    </w:p>
    <w:p w:rsidR="009613E2" w:rsidRPr="00320965" w:rsidRDefault="009613E2" w:rsidP="009613E2">
      <w:pPr>
        <w:numPr>
          <w:ilvl w:val="0"/>
          <w:numId w:val="12"/>
        </w:numPr>
        <w:tabs>
          <w:tab w:val="clear" w:pos="720"/>
          <w:tab w:val="num" w:pos="540"/>
        </w:tabs>
        <w:ind w:left="540" w:hanging="540"/>
        <w:jc w:val="both"/>
        <w:rPr>
          <w:rFonts w:ascii="Tahoma" w:hAnsi="Tahoma" w:cs="Tahoma"/>
          <w:sz w:val="22"/>
          <w:szCs w:val="22"/>
        </w:rPr>
      </w:pPr>
      <w:r w:rsidRPr="00320965">
        <w:rPr>
          <w:rFonts w:ascii="Tahoma" w:hAnsi="Tahoma" w:cs="Tahoma"/>
          <w:sz w:val="22"/>
          <w:szCs w:val="22"/>
        </w:rPr>
        <w:t>Disponer que se continúe con las siguientes etapas del proceso Adjudicación de Menor Cuantía Nº 022-2010-MPSP/CEP derivada de la Adjudicación Directa Selectiva Nº 010-2010-MPSP/CEP, a partir del otorgamiento de la Buena Pro, por las consideraciones expuestas.</w:t>
      </w:r>
    </w:p>
    <w:p w:rsidR="009613E2" w:rsidRPr="00320965" w:rsidRDefault="009613E2" w:rsidP="009613E2">
      <w:pPr>
        <w:ind w:left="540"/>
        <w:jc w:val="both"/>
        <w:rPr>
          <w:rFonts w:ascii="Tahoma" w:hAnsi="Tahoma" w:cs="Tahoma"/>
          <w:sz w:val="22"/>
          <w:szCs w:val="22"/>
        </w:rPr>
      </w:pPr>
    </w:p>
    <w:p w:rsidR="009613E2" w:rsidRPr="00320965" w:rsidRDefault="009613E2" w:rsidP="009613E2">
      <w:pPr>
        <w:numPr>
          <w:ilvl w:val="0"/>
          <w:numId w:val="12"/>
        </w:numPr>
        <w:tabs>
          <w:tab w:val="clear" w:pos="720"/>
          <w:tab w:val="num" w:pos="540"/>
        </w:tabs>
        <w:ind w:left="540" w:hanging="540"/>
        <w:jc w:val="both"/>
        <w:rPr>
          <w:rFonts w:ascii="Tahoma" w:hAnsi="Tahoma" w:cs="Tahoma"/>
          <w:sz w:val="22"/>
          <w:szCs w:val="22"/>
        </w:rPr>
      </w:pPr>
      <w:r w:rsidRPr="00320965">
        <w:rPr>
          <w:rFonts w:ascii="Tahoma" w:hAnsi="Tahoma" w:cs="Tahoma"/>
          <w:sz w:val="22"/>
          <w:szCs w:val="22"/>
        </w:rPr>
        <w:t xml:space="preserve">Disponer la devolución de la garantía presentada por la empresa </w:t>
      </w:r>
      <w:r w:rsidRPr="00320965">
        <w:rPr>
          <w:rFonts w:ascii="Tahoma" w:hAnsi="Tahoma" w:cs="Tahoma"/>
          <w:caps/>
          <w:sz w:val="22"/>
          <w:szCs w:val="22"/>
        </w:rPr>
        <w:t>Corporación Brillantina SRL</w:t>
      </w:r>
      <w:r w:rsidRPr="00320965">
        <w:rPr>
          <w:rFonts w:ascii="Tahoma" w:hAnsi="Tahoma" w:cs="Tahoma"/>
          <w:sz w:val="22"/>
          <w:szCs w:val="22"/>
        </w:rPr>
        <w:t>,  para la interposición de su recurso de apelación.</w:t>
      </w:r>
    </w:p>
    <w:p w:rsidR="009613E2" w:rsidRPr="00320965" w:rsidRDefault="009613E2" w:rsidP="009613E2">
      <w:pPr>
        <w:ind w:right="-1"/>
        <w:jc w:val="both"/>
        <w:rPr>
          <w:rFonts w:ascii="Tahoma" w:hAnsi="Tahoma" w:cs="Tahoma"/>
          <w:sz w:val="22"/>
          <w:szCs w:val="22"/>
        </w:rPr>
      </w:pPr>
    </w:p>
    <w:p w:rsidR="009613E2" w:rsidRPr="00320965" w:rsidRDefault="009613E2" w:rsidP="009613E2">
      <w:pPr>
        <w:numPr>
          <w:ilvl w:val="0"/>
          <w:numId w:val="12"/>
        </w:numPr>
        <w:tabs>
          <w:tab w:val="clear" w:pos="720"/>
          <w:tab w:val="num" w:pos="567"/>
        </w:tabs>
        <w:ind w:left="567" w:hanging="567"/>
        <w:jc w:val="both"/>
        <w:rPr>
          <w:rFonts w:ascii="Tahoma" w:hAnsi="Tahoma" w:cs="Tahoma"/>
          <w:sz w:val="22"/>
          <w:szCs w:val="22"/>
        </w:rPr>
      </w:pPr>
      <w:r w:rsidRPr="00320965">
        <w:rPr>
          <w:rFonts w:ascii="Tahoma" w:hAnsi="Tahoma" w:cs="Tahoma"/>
          <w:sz w:val="22"/>
          <w:szCs w:val="22"/>
        </w:rPr>
        <w:t>Dar por agotada la vía administrativa.</w:t>
      </w:r>
    </w:p>
    <w:p w:rsidR="00486D4B" w:rsidRPr="00320965" w:rsidRDefault="00486D4B" w:rsidP="00486D4B">
      <w:pPr>
        <w:pStyle w:val="Prrafodelista"/>
        <w:ind w:left="426"/>
        <w:jc w:val="both"/>
        <w:rPr>
          <w:rFonts w:ascii="Tahoma" w:hAnsi="Tahoma" w:cs="Tahoma"/>
          <w:color w:val="000000" w:themeColor="text1"/>
          <w:sz w:val="22"/>
          <w:szCs w:val="22"/>
          <w:lang w:val="es-ES"/>
        </w:rPr>
      </w:pPr>
    </w:p>
    <w:p w:rsidR="00486D4B" w:rsidRPr="00320965" w:rsidRDefault="00486D4B" w:rsidP="00486D4B">
      <w:pPr>
        <w:pStyle w:val="Textoindependiente21"/>
        <w:ind w:firstLine="567"/>
        <w:rPr>
          <w:rFonts w:cs="Tahoma"/>
          <w:szCs w:val="22"/>
        </w:rPr>
      </w:pPr>
      <w:r w:rsidRPr="00320965">
        <w:rPr>
          <w:rFonts w:cs="Tahoma"/>
          <w:szCs w:val="22"/>
        </w:rPr>
        <w:t>Regístrese, comuníquese y publíquese.</w:t>
      </w:r>
    </w:p>
    <w:p w:rsidR="00486D4B" w:rsidRDefault="00486D4B" w:rsidP="00486D4B">
      <w:pPr>
        <w:jc w:val="center"/>
        <w:rPr>
          <w:rFonts w:ascii="Tahoma" w:hAnsi="Tahoma" w:cs="Tahoma"/>
          <w:b/>
          <w:sz w:val="22"/>
          <w:szCs w:val="22"/>
        </w:rPr>
      </w:pPr>
    </w:p>
    <w:p w:rsidR="00C10F49" w:rsidRPr="00320965" w:rsidRDefault="00C10F49" w:rsidP="00486D4B">
      <w:pPr>
        <w:jc w:val="center"/>
        <w:rPr>
          <w:rFonts w:ascii="Tahoma" w:hAnsi="Tahoma" w:cs="Tahoma"/>
          <w:b/>
          <w:sz w:val="22"/>
          <w:szCs w:val="22"/>
        </w:rPr>
      </w:pPr>
    </w:p>
    <w:p w:rsidR="00C10F49" w:rsidRPr="00320965" w:rsidRDefault="00C10F49" w:rsidP="00C10F49">
      <w:pPr>
        <w:rPr>
          <w:rFonts w:ascii="Tahoma" w:hAnsi="Tahoma" w:cs="Tahoma"/>
          <w:b/>
          <w:sz w:val="22"/>
          <w:szCs w:val="22"/>
        </w:rPr>
      </w:pPr>
    </w:p>
    <w:p w:rsidR="00486D4B" w:rsidRPr="00320965" w:rsidRDefault="00486D4B" w:rsidP="00486D4B">
      <w:pPr>
        <w:jc w:val="center"/>
        <w:rPr>
          <w:rFonts w:ascii="Tahoma" w:hAnsi="Tahoma" w:cs="Tahoma"/>
          <w:b/>
          <w:sz w:val="22"/>
          <w:szCs w:val="22"/>
        </w:rPr>
      </w:pPr>
    </w:p>
    <w:p w:rsidR="00486D4B" w:rsidRPr="00320965" w:rsidRDefault="00486D4B" w:rsidP="00486D4B">
      <w:pPr>
        <w:jc w:val="center"/>
        <w:rPr>
          <w:rFonts w:ascii="Tahoma" w:hAnsi="Tahoma" w:cs="Tahoma"/>
          <w:b/>
          <w:sz w:val="22"/>
          <w:szCs w:val="22"/>
        </w:rPr>
      </w:pPr>
    </w:p>
    <w:p w:rsidR="00486D4B" w:rsidRPr="00320965" w:rsidRDefault="00486D4B" w:rsidP="00486D4B">
      <w:pPr>
        <w:jc w:val="center"/>
        <w:rPr>
          <w:rFonts w:ascii="Tahoma" w:hAnsi="Tahoma" w:cs="Tahoma"/>
          <w:b/>
          <w:shadow/>
          <w:sz w:val="22"/>
          <w:szCs w:val="22"/>
          <w:lang w:val="pt-BR"/>
        </w:rPr>
      </w:pPr>
      <w:r w:rsidRPr="00320965">
        <w:rPr>
          <w:rFonts w:ascii="Tahoma" w:hAnsi="Tahoma" w:cs="Tahoma"/>
          <w:b/>
          <w:shadow/>
          <w:sz w:val="22"/>
          <w:szCs w:val="22"/>
          <w:lang w:val="pt-BR"/>
        </w:rPr>
        <w:t>PRESIDENTE</w:t>
      </w:r>
    </w:p>
    <w:p w:rsidR="00486D4B" w:rsidRPr="00320965" w:rsidRDefault="00486D4B" w:rsidP="00486D4B">
      <w:pPr>
        <w:ind w:firstLine="708"/>
        <w:rPr>
          <w:rFonts w:ascii="Tahoma" w:hAnsi="Tahoma" w:cs="Tahoma"/>
          <w:b/>
          <w:shadow/>
          <w:sz w:val="22"/>
          <w:szCs w:val="22"/>
          <w:lang w:val="pt-BR"/>
        </w:rPr>
      </w:pPr>
    </w:p>
    <w:p w:rsidR="00486D4B" w:rsidRPr="00320965" w:rsidRDefault="00486D4B" w:rsidP="00486D4B">
      <w:pPr>
        <w:ind w:firstLine="708"/>
        <w:rPr>
          <w:rFonts w:ascii="Tahoma" w:hAnsi="Tahoma" w:cs="Tahoma"/>
          <w:b/>
          <w:shadow/>
          <w:sz w:val="22"/>
          <w:szCs w:val="22"/>
          <w:lang w:val="pt-BR"/>
        </w:rPr>
      </w:pPr>
      <w:r w:rsidRPr="00320965">
        <w:rPr>
          <w:rFonts w:ascii="Tahoma" w:hAnsi="Tahoma" w:cs="Tahoma"/>
          <w:b/>
          <w:shadow/>
          <w:sz w:val="22"/>
          <w:szCs w:val="22"/>
          <w:lang w:val="pt-BR"/>
        </w:rPr>
        <w:t xml:space="preserve">VOCAL           </w:t>
      </w:r>
      <w:r w:rsidRPr="00320965">
        <w:rPr>
          <w:rFonts w:ascii="Tahoma" w:hAnsi="Tahoma" w:cs="Tahoma"/>
          <w:b/>
          <w:shadow/>
          <w:sz w:val="22"/>
          <w:szCs w:val="22"/>
          <w:lang w:val="pt-BR"/>
        </w:rPr>
        <w:tab/>
      </w:r>
      <w:r w:rsidRPr="00320965">
        <w:rPr>
          <w:rFonts w:ascii="Tahoma" w:hAnsi="Tahoma" w:cs="Tahoma"/>
          <w:b/>
          <w:shadow/>
          <w:sz w:val="22"/>
          <w:szCs w:val="22"/>
          <w:lang w:val="pt-BR"/>
        </w:rPr>
        <w:tab/>
        <w:t xml:space="preserve">                                                                 VOCAL</w:t>
      </w:r>
    </w:p>
    <w:p w:rsidR="00486D4B" w:rsidRPr="00320965" w:rsidRDefault="00486D4B" w:rsidP="00486D4B">
      <w:pPr>
        <w:rPr>
          <w:rFonts w:ascii="Tahoma" w:hAnsi="Tahoma" w:cs="Tahoma"/>
          <w:sz w:val="22"/>
          <w:szCs w:val="22"/>
          <w:lang w:val="pt-BR"/>
        </w:rPr>
      </w:pPr>
    </w:p>
    <w:p w:rsidR="00486D4B" w:rsidRPr="00320965" w:rsidRDefault="00486D4B" w:rsidP="00486D4B">
      <w:pPr>
        <w:rPr>
          <w:rFonts w:ascii="Tahoma" w:hAnsi="Tahoma" w:cs="Tahoma"/>
          <w:sz w:val="22"/>
          <w:szCs w:val="22"/>
          <w:lang w:val="pt-BR"/>
        </w:rPr>
      </w:pPr>
    </w:p>
    <w:p w:rsidR="00486D4B" w:rsidRPr="00320965" w:rsidRDefault="00486D4B" w:rsidP="00486D4B">
      <w:pPr>
        <w:jc w:val="both"/>
        <w:rPr>
          <w:rFonts w:ascii="Tahoma" w:hAnsi="Tahoma" w:cs="Tahoma"/>
          <w:sz w:val="22"/>
          <w:szCs w:val="22"/>
          <w:lang w:val="pt-BR"/>
        </w:rPr>
      </w:pPr>
      <w:r w:rsidRPr="00320965">
        <w:rPr>
          <w:rFonts w:ascii="Tahoma" w:hAnsi="Tahoma" w:cs="Tahoma"/>
          <w:sz w:val="22"/>
          <w:szCs w:val="22"/>
          <w:lang w:val="pt-BR"/>
        </w:rPr>
        <w:t>ss.</w:t>
      </w:r>
    </w:p>
    <w:p w:rsidR="00486D4B" w:rsidRPr="00320965" w:rsidRDefault="00486D4B" w:rsidP="00486D4B">
      <w:pPr>
        <w:pStyle w:val="Textoindependiente21"/>
        <w:tabs>
          <w:tab w:val="left" w:pos="5250"/>
        </w:tabs>
        <w:rPr>
          <w:rFonts w:cs="Tahoma"/>
          <w:szCs w:val="22"/>
          <w:lang w:val="pt-BR"/>
        </w:rPr>
      </w:pPr>
      <w:r w:rsidRPr="00320965">
        <w:rPr>
          <w:rFonts w:cs="Tahoma"/>
          <w:szCs w:val="22"/>
          <w:lang w:val="pt-BR"/>
        </w:rPr>
        <w:t>Navas Rondón.</w:t>
      </w:r>
    </w:p>
    <w:p w:rsidR="00486D4B" w:rsidRPr="00320965" w:rsidRDefault="00486D4B" w:rsidP="00486D4B">
      <w:pPr>
        <w:pStyle w:val="Textoindependiente21"/>
        <w:tabs>
          <w:tab w:val="left" w:pos="5250"/>
        </w:tabs>
        <w:rPr>
          <w:rFonts w:cs="Tahoma"/>
          <w:szCs w:val="22"/>
          <w:lang w:val="pt-BR"/>
        </w:rPr>
      </w:pPr>
      <w:r w:rsidRPr="00320965">
        <w:rPr>
          <w:rFonts w:cs="Tahoma"/>
          <w:szCs w:val="22"/>
        </w:rPr>
        <w:t>Ramírez Maynetto.</w:t>
      </w:r>
    </w:p>
    <w:p w:rsidR="00CA5F32" w:rsidRPr="00C10F49" w:rsidRDefault="00C10F49" w:rsidP="00C10F49">
      <w:pPr>
        <w:pStyle w:val="Textoindependiente21"/>
        <w:tabs>
          <w:tab w:val="left" w:pos="5250"/>
        </w:tabs>
        <w:rPr>
          <w:rFonts w:cs="Tahoma"/>
          <w:szCs w:val="22"/>
          <w:lang w:val="pt-BR"/>
        </w:rPr>
      </w:pPr>
      <w:r>
        <w:rPr>
          <w:rFonts w:cs="Tahoma"/>
          <w:szCs w:val="22"/>
          <w:lang w:val="pt-BR"/>
        </w:rPr>
        <w:t>Basulto Liewald</w:t>
      </w:r>
    </w:p>
    <w:sectPr w:rsidR="00CA5F32" w:rsidRPr="00C10F49" w:rsidSect="00320965">
      <w:headerReference w:type="default" r:id="rId12"/>
      <w:footerReference w:type="default" r:id="rId13"/>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FB0" w:rsidRDefault="00BE2FB0" w:rsidP="00486D4B">
      <w:r>
        <w:separator/>
      </w:r>
    </w:p>
  </w:endnote>
  <w:endnote w:type="continuationSeparator" w:id="1">
    <w:p w:rsidR="00BE2FB0" w:rsidRDefault="00BE2FB0" w:rsidP="00486D4B">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20965" w:rsidRDefault="00320965">
            <w:pPr>
              <w:pStyle w:val="Piedepgina"/>
              <w:jc w:val="center"/>
            </w:pPr>
            <w:r>
              <w:t xml:space="preserve">Página </w:t>
            </w:r>
            <w:r w:rsidR="004F189A">
              <w:rPr>
                <w:b/>
              </w:rPr>
              <w:fldChar w:fldCharType="begin"/>
            </w:r>
            <w:r>
              <w:rPr>
                <w:b/>
              </w:rPr>
              <w:instrText>PAGE</w:instrText>
            </w:r>
            <w:r w:rsidR="004F189A">
              <w:rPr>
                <w:b/>
              </w:rPr>
              <w:fldChar w:fldCharType="separate"/>
            </w:r>
            <w:r w:rsidR="00491486">
              <w:rPr>
                <w:b/>
                <w:noProof/>
              </w:rPr>
              <w:t>1</w:t>
            </w:r>
            <w:r w:rsidR="004F189A">
              <w:rPr>
                <w:b/>
              </w:rPr>
              <w:fldChar w:fldCharType="end"/>
            </w:r>
            <w:r>
              <w:t xml:space="preserve"> de </w:t>
            </w:r>
            <w:r w:rsidR="004F189A">
              <w:rPr>
                <w:b/>
              </w:rPr>
              <w:fldChar w:fldCharType="begin"/>
            </w:r>
            <w:r>
              <w:rPr>
                <w:b/>
              </w:rPr>
              <w:instrText>NUMPAGES</w:instrText>
            </w:r>
            <w:r w:rsidR="004F189A">
              <w:rPr>
                <w:b/>
              </w:rPr>
              <w:fldChar w:fldCharType="separate"/>
            </w:r>
            <w:r w:rsidR="00491486">
              <w:rPr>
                <w:b/>
                <w:noProof/>
              </w:rPr>
              <w:t>17</w:t>
            </w:r>
            <w:r w:rsidR="004F189A">
              <w:rPr>
                <w:b/>
              </w:rPr>
              <w:fldChar w:fldCharType="end"/>
            </w:r>
          </w:p>
        </w:sdtContent>
      </w:sdt>
    </w:sdtContent>
  </w:sdt>
  <w:p w:rsidR="00320965" w:rsidRDefault="0032096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FB0" w:rsidRDefault="00BE2FB0" w:rsidP="00486D4B">
      <w:r>
        <w:separator/>
      </w:r>
    </w:p>
  </w:footnote>
  <w:footnote w:type="continuationSeparator" w:id="1">
    <w:p w:rsidR="00BE2FB0" w:rsidRDefault="00BE2FB0" w:rsidP="00486D4B">
      <w:r>
        <w:continuationSeparator/>
      </w:r>
    </w:p>
  </w:footnote>
  <w:footnote w:id="2">
    <w:p w:rsidR="00320965" w:rsidRPr="009877C0" w:rsidRDefault="00320965" w:rsidP="009613E2">
      <w:pPr>
        <w:pStyle w:val="Sinespaciado"/>
        <w:rPr>
          <w:rFonts w:ascii="Tahoma" w:hAnsi="Tahoma" w:cs="Tahoma"/>
          <w:i/>
          <w:sz w:val="20"/>
          <w:szCs w:val="20"/>
        </w:rPr>
      </w:pPr>
      <w:r w:rsidRPr="0065531B">
        <w:rPr>
          <w:rStyle w:val="Refdenotaalpie"/>
          <w:rFonts w:ascii="Tahoma" w:hAnsi="Tahoma" w:cs="Tahoma"/>
          <w:sz w:val="20"/>
          <w:szCs w:val="20"/>
        </w:rPr>
        <w:footnoteRef/>
      </w:r>
      <w:r>
        <w:rPr>
          <w:rFonts w:ascii="Tahoma" w:hAnsi="Tahoma" w:cs="Tahoma"/>
          <w:sz w:val="20"/>
          <w:szCs w:val="20"/>
        </w:rPr>
        <w:t xml:space="preserve"> “</w:t>
      </w:r>
      <w:r w:rsidRPr="009877C0">
        <w:rPr>
          <w:rFonts w:ascii="Tahoma" w:hAnsi="Tahoma" w:cs="Tahoma"/>
          <w:i/>
          <w:sz w:val="20"/>
          <w:szCs w:val="20"/>
        </w:rPr>
        <w:t>Artículo 14.- Conservación del acto</w:t>
      </w:r>
    </w:p>
    <w:p w:rsidR="00320965" w:rsidRPr="009877C0" w:rsidRDefault="00320965" w:rsidP="009613E2">
      <w:pPr>
        <w:pStyle w:val="Sinespaciado"/>
        <w:jc w:val="both"/>
        <w:rPr>
          <w:rFonts w:ascii="Tahoma" w:hAnsi="Tahoma" w:cs="Tahoma"/>
          <w:i/>
          <w:sz w:val="20"/>
          <w:szCs w:val="20"/>
        </w:rPr>
      </w:pPr>
      <w:r w:rsidRPr="009877C0">
        <w:rPr>
          <w:rFonts w:ascii="Tahoma" w:hAnsi="Tahoma" w:cs="Tahoma"/>
          <w:i/>
          <w:sz w:val="20"/>
          <w:szCs w:val="20"/>
        </w:rPr>
        <w:t>14.1 Cuando el vicio del acto administrativo por el incumplimiento a sus elementos de validez, no sea trascendente, prevalece la conservación del acto, procediéndose a su enmienda por la propia autoridad emisora.</w:t>
      </w:r>
    </w:p>
    <w:p w:rsidR="00320965" w:rsidRPr="009877C0" w:rsidRDefault="00320965" w:rsidP="009613E2">
      <w:pPr>
        <w:pStyle w:val="Sinespaciado"/>
        <w:jc w:val="both"/>
        <w:rPr>
          <w:rFonts w:ascii="Tahoma" w:hAnsi="Tahoma" w:cs="Tahoma"/>
          <w:i/>
          <w:sz w:val="20"/>
          <w:szCs w:val="20"/>
        </w:rPr>
      </w:pPr>
      <w:r w:rsidRPr="009877C0">
        <w:rPr>
          <w:rFonts w:ascii="Tahoma" w:hAnsi="Tahoma" w:cs="Tahoma"/>
          <w:i/>
          <w:sz w:val="20"/>
          <w:szCs w:val="20"/>
        </w:rPr>
        <w:t>14.2 Son actos administrativos afectados por vicios no trascendentes, los siguientes:</w:t>
      </w:r>
    </w:p>
    <w:p w:rsidR="00320965" w:rsidRPr="009877C0" w:rsidRDefault="00320965" w:rsidP="009613E2">
      <w:pPr>
        <w:pStyle w:val="Sinespaciado"/>
        <w:jc w:val="both"/>
        <w:rPr>
          <w:rFonts w:ascii="Tahoma" w:hAnsi="Tahoma" w:cs="Tahoma"/>
          <w:i/>
          <w:sz w:val="20"/>
          <w:szCs w:val="20"/>
        </w:rPr>
      </w:pPr>
      <w:r w:rsidRPr="009877C0">
        <w:rPr>
          <w:rFonts w:ascii="Tahoma" w:hAnsi="Tahoma" w:cs="Tahoma"/>
          <w:i/>
          <w:sz w:val="20"/>
          <w:szCs w:val="20"/>
        </w:rPr>
        <w:t>14.2.1 El acto cuyo contenido sea impreciso o incongruente con las cuestiones surgidas en la motivación.</w:t>
      </w:r>
    </w:p>
    <w:p w:rsidR="00320965" w:rsidRPr="009877C0" w:rsidRDefault="00320965" w:rsidP="009613E2">
      <w:pPr>
        <w:pStyle w:val="Sinespaciado"/>
        <w:jc w:val="both"/>
        <w:rPr>
          <w:rFonts w:ascii="Tahoma" w:hAnsi="Tahoma" w:cs="Tahoma"/>
          <w:i/>
          <w:sz w:val="20"/>
          <w:szCs w:val="20"/>
        </w:rPr>
      </w:pPr>
      <w:r w:rsidRPr="009877C0">
        <w:rPr>
          <w:rFonts w:ascii="Tahoma" w:hAnsi="Tahoma" w:cs="Tahoma"/>
          <w:i/>
          <w:sz w:val="20"/>
          <w:szCs w:val="20"/>
        </w:rPr>
        <w:t>14.2.2 El acto emitido con una motivación insuficiente o parcial.</w:t>
      </w:r>
    </w:p>
    <w:p w:rsidR="00320965" w:rsidRPr="009877C0" w:rsidRDefault="00320965" w:rsidP="009613E2">
      <w:pPr>
        <w:pStyle w:val="Sinespaciado"/>
        <w:jc w:val="both"/>
        <w:rPr>
          <w:rFonts w:ascii="Tahoma" w:hAnsi="Tahoma" w:cs="Tahoma"/>
          <w:i/>
          <w:sz w:val="20"/>
          <w:szCs w:val="20"/>
        </w:rPr>
      </w:pPr>
      <w:r w:rsidRPr="009877C0">
        <w:rPr>
          <w:rFonts w:ascii="Tahoma" w:hAnsi="Tahoma" w:cs="Tahoma"/>
          <w:b/>
          <w:i/>
          <w:sz w:val="20"/>
          <w:szCs w:val="20"/>
        </w:rPr>
        <w:t xml:space="preserve">14.2.3 El acto emitido con infracción a las formalidades no esenciales del procedimiento, considerando como tales aquéllas cuya realización correcta no hubiera impedido o cambiado el sentido de la decisión final en aspectos importantes, o cuyo incumplimiento no afectare el debido proceso del administrado. </w:t>
      </w:r>
    </w:p>
    <w:p w:rsidR="00320965" w:rsidRPr="009877C0" w:rsidRDefault="00320965" w:rsidP="009613E2">
      <w:pPr>
        <w:pStyle w:val="Sinespaciado"/>
        <w:jc w:val="both"/>
        <w:rPr>
          <w:rFonts w:ascii="Tahoma" w:hAnsi="Tahoma" w:cs="Tahoma"/>
          <w:i/>
          <w:sz w:val="20"/>
          <w:szCs w:val="20"/>
        </w:rPr>
      </w:pPr>
      <w:r w:rsidRPr="009877C0">
        <w:rPr>
          <w:rFonts w:ascii="Tahoma" w:hAnsi="Tahoma" w:cs="Tahoma"/>
          <w:i/>
          <w:sz w:val="20"/>
          <w:szCs w:val="20"/>
        </w:rPr>
        <w:t>14.2.4 Cuando se concluya indudablemente de cualquier otro modo que el acto administrativo hubiese tenido el mismo contenido, de no haberse producido el vicio.</w:t>
      </w:r>
    </w:p>
    <w:p w:rsidR="00320965" w:rsidRPr="009877C0" w:rsidRDefault="00320965" w:rsidP="009613E2">
      <w:pPr>
        <w:pStyle w:val="Sinespaciado"/>
        <w:jc w:val="both"/>
        <w:rPr>
          <w:rFonts w:ascii="Tahoma" w:hAnsi="Tahoma" w:cs="Tahoma"/>
          <w:i/>
          <w:sz w:val="20"/>
          <w:szCs w:val="20"/>
        </w:rPr>
      </w:pPr>
      <w:r w:rsidRPr="009877C0">
        <w:rPr>
          <w:rFonts w:ascii="Tahoma" w:hAnsi="Tahoma" w:cs="Tahoma"/>
          <w:i/>
          <w:sz w:val="20"/>
          <w:szCs w:val="20"/>
        </w:rPr>
        <w:t>14.2.5 Aquéllos emitidos con omisión de documentación no esencial</w:t>
      </w:r>
    </w:p>
    <w:p w:rsidR="00320965" w:rsidRPr="009877C0" w:rsidRDefault="00320965" w:rsidP="009613E2">
      <w:pPr>
        <w:pStyle w:val="Sinespaciado"/>
        <w:jc w:val="both"/>
        <w:rPr>
          <w:rFonts w:ascii="Tahoma" w:hAnsi="Tahoma" w:cs="Tahoma"/>
          <w:sz w:val="20"/>
          <w:szCs w:val="20"/>
        </w:rPr>
      </w:pPr>
      <w:r w:rsidRPr="009877C0">
        <w:rPr>
          <w:rFonts w:ascii="Tahoma" w:hAnsi="Tahoma" w:cs="Tahoma"/>
          <w:i/>
          <w:sz w:val="20"/>
          <w:szCs w:val="20"/>
        </w:rPr>
        <w:t>14.3 No obstante la conservación del acto, subsiste la responsabilidad administrativa de quien emite el acto viciado, salvo que la enmienda se produzca sin pedido de parte y antes de su ejecución</w:t>
      </w:r>
      <w:r>
        <w:rPr>
          <w:rFonts w:ascii="Tahoma" w:hAnsi="Tahoma" w:cs="Tahoma"/>
          <w:sz w:val="20"/>
          <w:szCs w:val="20"/>
        </w:rPr>
        <w:t>”</w:t>
      </w:r>
      <w:r w:rsidRPr="009877C0">
        <w:rPr>
          <w:rFonts w:ascii="Tahoma" w:hAnsi="Tahoma" w:cs="Tahoma"/>
          <w:sz w:val="20"/>
          <w:szCs w:val="20"/>
        </w:rPr>
        <w:t xml:space="preserve">. </w:t>
      </w:r>
      <w:r w:rsidRPr="0065531B">
        <w:rPr>
          <w:rFonts w:ascii="Tahoma" w:hAnsi="Tahoma" w:cs="Tahoma"/>
          <w:sz w:val="20"/>
          <w:szCs w:val="20"/>
        </w:rPr>
        <w:t>(</w:t>
      </w:r>
      <w:r>
        <w:rPr>
          <w:rFonts w:ascii="Tahoma" w:hAnsi="Tahoma" w:cs="Tahoma"/>
          <w:sz w:val="20"/>
          <w:szCs w:val="20"/>
        </w:rPr>
        <w:t>Resaltado nuestro)</w:t>
      </w:r>
    </w:p>
    <w:p w:rsidR="00320965" w:rsidRPr="009877C0" w:rsidRDefault="00320965" w:rsidP="009613E2">
      <w:pPr>
        <w:pStyle w:val="Sinespaciado"/>
        <w:jc w:val="both"/>
        <w:rPr>
          <w:rFonts w:ascii="Tahoma" w:hAnsi="Tahoma" w:cs="Tahoma"/>
          <w:b/>
          <w:sz w:val="20"/>
          <w:szCs w:val="20"/>
          <w:lang w:val="es-ES_tradnl"/>
        </w:rPr>
      </w:pPr>
    </w:p>
    <w:p w:rsidR="00320965" w:rsidRPr="0065531B" w:rsidRDefault="00320965" w:rsidP="009613E2">
      <w:pPr>
        <w:pStyle w:val="Textonotapie"/>
        <w:rPr>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486" w:rsidRDefault="00491486" w:rsidP="00491486">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491486" w:rsidRDefault="00491486" w:rsidP="00491486">
    <w:pPr>
      <w:pStyle w:val="Encabezado"/>
      <w:rPr>
        <w:noProof/>
      </w:rPr>
    </w:pPr>
  </w:p>
  <w:p w:rsidR="00491486" w:rsidRDefault="00491486" w:rsidP="00491486">
    <w:pPr>
      <w:pStyle w:val="Encabezado"/>
      <w:rPr>
        <w:noProof/>
      </w:rPr>
    </w:pPr>
  </w:p>
  <w:p w:rsidR="00491486" w:rsidRDefault="00491486" w:rsidP="00491486">
    <w:pPr>
      <w:pStyle w:val="Encabezado"/>
      <w:rPr>
        <w:noProof/>
      </w:rPr>
    </w:pPr>
  </w:p>
  <w:p w:rsidR="00491486" w:rsidRDefault="00491486" w:rsidP="00491486">
    <w:pPr>
      <w:pStyle w:val="Encabezado"/>
      <w:jc w:val="center"/>
    </w:pPr>
    <w:r>
      <w:rPr>
        <w:rFonts w:ascii="Monotype Corsiva" w:hAnsi="Monotype Corsiva"/>
        <w:b/>
        <w:sz w:val="44"/>
        <w:szCs w:val="44"/>
      </w:rPr>
      <w:t xml:space="preserve">Resolución Nº   </w:t>
    </w:r>
    <w:r>
      <w:rPr>
        <w:rFonts w:ascii="Tahoma" w:hAnsi="Tahoma" w:cs="Tahoma"/>
        <w:b/>
        <w:sz w:val="44"/>
        <w:szCs w:val="44"/>
      </w:rPr>
      <w:t>687-2011-TC-S1</w:t>
    </w:r>
  </w:p>
  <w:p w:rsidR="00491486" w:rsidRDefault="0049148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E0E0981C"/>
    <w:lvl w:ilvl="0" w:tplc="D04A2874">
      <w:start w:val="1"/>
      <w:numFmt w:val="decimal"/>
      <w:lvlText w:val="%1."/>
      <w:lvlJc w:val="left"/>
      <w:pPr>
        <w:ind w:left="720" w:hanging="360"/>
      </w:pPr>
      <w:rPr>
        <w:rFonts w:ascii="Tahoma" w:hAnsi="Tahoma" w:cs="Tahoma" w:hint="default"/>
        <w:b/>
        <w:i w:val="0"/>
        <w:sz w:val="20"/>
        <w:szCs w:val="2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2">
    <w:nsid w:val="15F17DB2"/>
    <w:multiLevelType w:val="hybridMultilevel"/>
    <w:tmpl w:val="49F0EA04"/>
    <w:lvl w:ilvl="0" w:tplc="C08A2646">
      <w:start w:val="1"/>
      <w:numFmt w:val="decimal"/>
      <w:lvlText w:val="%1."/>
      <w:lvlJc w:val="left"/>
      <w:pPr>
        <w:tabs>
          <w:tab w:val="num" w:pos="720"/>
        </w:tabs>
        <w:ind w:left="720" w:hanging="360"/>
      </w:pPr>
      <w:rPr>
        <w:rFonts w:ascii="Bookman Old Style" w:hAnsi="Bookman Old Style" w:cs="Tahoma" w:hint="default"/>
        <w:b/>
        <w:i w:val="0"/>
        <w:sz w:val="23"/>
        <w:szCs w:val="23"/>
      </w:rPr>
    </w:lvl>
    <w:lvl w:ilvl="1" w:tplc="280A0019">
      <w:start w:val="1"/>
      <w:numFmt w:val="lowerLetter"/>
      <w:lvlText w:val="%2."/>
      <w:lvlJc w:val="left"/>
      <w:pPr>
        <w:tabs>
          <w:tab w:val="num" w:pos="1440"/>
        </w:tabs>
        <w:ind w:left="1440" w:hanging="360"/>
      </w:pPr>
      <w:rPr>
        <w:rFonts w:cs="Times New Roman"/>
      </w:rPr>
    </w:lvl>
    <w:lvl w:ilvl="2" w:tplc="280A001B" w:tentative="1">
      <w:start w:val="1"/>
      <w:numFmt w:val="lowerRoman"/>
      <w:lvlText w:val="%3."/>
      <w:lvlJc w:val="right"/>
      <w:pPr>
        <w:tabs>
          <w:tab w:val="num" w:pos="2160"/>
        </w:tabs>
        <w:ind w:left="2160" w:hanging="180"/>
      </w:pPr>
      <w:rPr>
        <w:rFonts w:cs="Times New Roman"/>
      </w:rPr>
    </w:lvl>
    <w:lvl w:ilvl="3" w:tplc="280A000F" w:tentative="1">
      <w:start w:val="1"/>
      <w:numFmt w:val="decimal"/>
      <w:lvlText w:val="%4."/>
      <w:lvlJc w:val="left"/>
      <w:pPr>
        <w:tabs>
          <w:tab w:val="num" w:pos="2880"/>
        </w:tabs>
        <w:ind w:left="2880" w:hanging="360"/>
      </w:pPr>
      <w:rPr>
        <w:rFonts w:cs="Times New Roman"/>
      </w:rPr>
    </w:lvl>
    <w:lvl w:ilvl="4" w:tplc="280A0019" w:tentative="1">
      <w:start w:val="1"/>
      <w:numFmt w:val="lowerLetter"/>
      <w:lvlText w:val="%5."/>
      <w:lvlJc w:val="left"/>
      <w:pPr>
        <w:tabs>
          <w:tab w:val="num" w:pos="3600"/>
        </w:tabs>
        <w:ind w:left="3600" w:hanging="360"/>
      </w:pPr>
      <w:rPr>
        <w:rFonts w:cs="Times New Roman"/>
      </w:rPr>
    </w:lvl>
    <w:lvl w:ilvl="5" w:tplc="280A001B" w:tentative="1">
      <w:start w:val="1"/>
      <w:numFmt w:val="lowerRoman"/>
      <w:lvlText w:val="%6."/>
      <w:lvlJc w:val="right"/>
      <w:pPr>
        <w:tabs>
          <w:tab w:val="num" w:pos="4320"/>
        </w:tabs>
        <w:ind w:left="4320" w:hanging="180"/>
      </w:pPr>
      <w:rPr>
        <w:rFonts w:cs="Times New Roman"/>
      </w:rPr>
    </w:lvl>
    <w:lvl w:ilvl="6" w:tplc="280A000F" w:tentative="1">
      <w:start w:val="1"/>
      <w:numFmt w:val="decimal"/>
      <w:lvlText w:val="%7."/>
      <w:lvlJc w:val="left"/>
      <w:pPr>
        <w:tabs>
          <w:tab w:val="num" w:pos="5040"/>
        </w:tabs>
        <w:ind w:left="5040" w:hanging="360"/>
      </w:pPr>
      <w:rPr>
        <w:rFonts w:cs="Times New Roman"/>
      </w:rPr>
    </w:lvl>
    <w:lvl w:ilvl="7" w:tplc="280A0019" w:tentative="1">
      <w:start w:val="1"/>
      <w:numFmt w:val="lowerLetter"/>
      <w:lvlText w:val="%8."/>
      <w:lvlJc w:val="left"/>
      <w:pPr>
        <w:tabs>
          <w:tab w:val="num" w:pos="5760"/>
        </w:tabs>
        <w:ind w:left="5760" w:hanging="360"/>
      </w:pPr>
      <w:rPr>
        <w:rFonts w:cs="Times New Roman"/>
      </w:rPr>
    </w:lvl>
    <w:lvl w:ilvl="8" w:tplc="280A001B" w:tentative="1">
      <w:start w:val="1"/>
      <w:numFmt w:val="lowerRoman"/>
      <w:lvlText w:val="%9."/>
      <w:lvlJc w:val="right"/>
      <w:pPr>
        <w:tabs>
          <w:tab w:val="num" w:pos="6480"/>
        </w:tabs>
        <w:ind w:left="6480" w:hanging="180"/>
      </w:pPr>
      <w:rPr>
        <w:rFonts w:cs="Times New Roman"/>
      </w:rPr>
    </w:lvl>
  </w:abstractNum>
  <w:abstractNum w:abstractNumId="3">
    <w:nsid w:val="232456E8"/>
    <w:multiLevelType w:val="hybridMultilevel"/>
    <w:tmpl w:val="981AC1CC"/>
    <w:lvl w:ilvl="0" w:tplc="4B0A20F0">
      <w:start w:val="1"/>
      <w:numFmt w:val="decimal"/>
      <w:lvlText w:val="%1."/>
      <w:lvlJc w:val="left"/>
      <w:pPr>
        <w:ind w:left="360" w:hanging="360"/>
      </w:pPr>
      <w:rPr>
        <w:rFonts w:hint="default"/>
        <w:b/>
        <w:sz w:val="20"/>
        <w:szCs w:val="2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nsid w:val="23885A7A"/>
    <w:multiLevelType w:val="hybridMultilevel"/>
    <w:tmpl w:val="744263CE"/>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3D507641"/>
    <w:multiLevelType w:val="hybridMultilevel"/>
    <w:tmpl w:val="CAAE1602"/>
    <w:lvl w:ilvl="0" w:tplc="14F44EA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7">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5DBA025C"/>
    <w:multiLevelType w:val="singleLevel"/>
    <w:tmpl w:val="68F600D8"/>
    <w:lvl w:ilvl="0">
      <w:start w:val="1"/>
      <w:numFmt w:val="decimal"/>
      <w:lvlText w:val="%1."/>
      <w:legacy w:legacy="1" w:legacySpace="0" w:legacyIndent="360"/>
      <w:lvlJc w:val="left"/>
      <w:rPr>
        <w:rFonts w:ascii="Bookman Old Style" w:hAnsi="Bookman Old Style" w:hint="default"/>
        <w:b/>
        <w:i w:val="0"/>
      </w:rPr>
    </w:lvl>
  </w:abstractNum>
  <w:abstractNum w:abstractNumId="9">
    <w:nsid w:val="6A6D13C8"/>
    <w:multiLevelType w:val="hybridMultilevel"/>
    <w:tmpl w:val="92289698"/>
    <w:lvl w:ilvl="0" w:tplc="E544E4D0">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0">
    <w:nsid w:val="6F666219"/>
    <w:multiLevelType w:val="hybridMultilevel"/>
    <w:tmpl w:val="3B5C869E"/>
    <w:lvl w:ilvl="0" w:tplc="0C0A0001">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1">
    <w:nsid w:val="79836EF7"/>
    <w:multiLevelType w:val="hybridMultilevel"/>
    <w:tmpl w:val="B8C852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11"/>
  </w:num>
  <w:num w:numId="5">
    <w:abstractNumId w:val="4"/>
  </w:num>
  <w:num w:numId="6">
    <w:abstractNumId w:val="10"/>
  </w:num>
  <w:num w:numId="7">
    <w:abstractNumId w:val="1"/>
  </w:num>
  <w:num w:numId="8">
    <w:abstractNumId w:val="0"/>
  </w:num>
  <w:num w:numId="9">
    <w:abstractNumId w:val="6"/>
  </w:num>
  <w:num w:numId="10">
    <w:abstractNumId w:val="8"/>
  </w:num>
  <w:num w:numId="11">
    <w:abstractNumId w:val="9"/>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486D4B"/>
    <w:rsid w:val="00003A23"/>
    <w:rsid w:val="0003483E"/>
    <w:rsid w:val="00196655"/>
    <w:rsid w:val="00320965"/>
    <w:rsid w:val="00486D4B"/>
    <w:rsid w:val="00491486"/>
    <w:rsid w:val="00496AD0"/>
    <w:rsid w:val="004F189A"/>
    <w:rsid w:val="0077339D"/>
    <w:rsid w:val="009613E2"/>
    <w:rsid w:val="00AE1EBC"/>
    <w:rsid w:val="00BE2FB0"/>
    <w:rsid w:val="00C10F49"/>
    <w:rsid w:val="00CA5F32"/>
    <w:rsid w:val="00CC64EB"/>
    <w:rsid w:val="00EB6BC6"/>
    <w:rsid w:val="00FF7EB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D4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486D4B"/>
    <w:pPr>
      <w:spacing w:after="120"/>
    </w:pPr>
    <w:rPr>
      <w:sz w:val="16"/>
      <w:szCs w:val="16"/>
      <w:lang w:val="es-PE"/>
    </w:rPr>
  </w:style>
  <w:style w:type="character" w:customStyle="1" w:styleId="Textoindependiente3Car">
    <w:name w:val="Texto independiente 3 Car"/>
    <w:basedOn w:val="Fuentedeprrafopredeter"/>
    <w:link w:val="Textoindependiente3"/>
    <w:rsid w:val="00486D4B"/>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486D4B"/>
    <w:pPr>
      <w:jc w:val="both"/>
    </w:pPr>
    <w:rPr>
      <w:rFonts w:ascii="Tahoma" w:hAnsi="Tahoma"/>
      <w:sz w:val="22"/>
      <w:szCs w:val="20"/>
    </w:rPr>
  </w:style>
  <w:style w:type="paragraph" w:styleId="Prrafodelista">
    <w:name w:val="List Paragraph"/>
    <w:basedOn w:val="Normal"/>
    <w:uiPriority w:val="34"/>
    <w:qFormat/>
    <w:rsid w:val="00486D4B"/>
    <w:pPr>
      <w:widowControl w:val="0"/>
      <w:suppressAutoHyphens/>
      <w:ind w:left="708"/>
    </w:pPr>
    <w:rPr>
      <w:szCs w:val="20"/>
      <w:lang w:val="es-ES_tradnl"/>
    </w:rPr>
  </w:style>
  <w:style w:type="paragraph" w:styleId="Piedepgina">
    <w:name w:val="footer"/>
    <w:basedOn w:val="Normal"/>
    <w:link w:val="PiedepginaCar"/>
    <w:uiPriority w:val="99"/>
    <w:unhideWhenUsed/>
    <w:rsid w:val="00486D4B"/>
    <w:pPr>
      <w:tabs>
        <w:tab w:val="center" w:pos="4252"/>
        <w:tab w:val="right" w:pos="8504"/>
      </w:tabs>
    </w:pPr>
  </w:style>
  <w:style w:type="character" w:customStyle="1" w:styleId="PiedepginaCar">
    <w:name w:val="Pie de página Car"/>
    <w:basedOn w:val="Fuentedeprrafopredeter"/>
    <w:link w:val="Piedepgina"/>
    <w:uiPriority w:val="99"/>
    <w:rsid w:val="00486D4B"/>
    <w:rPr>
      <w:rFonts w:ascii="Times New Roman" w:eastAsia="Times New Roman" w:hAnsi="Times New Roman" w:cs="Times New Roman"/>
      <w:sz w:val="24"/>
      <w:szCs w:val="24"/>
      <w:lang w:eastAsia="es-ES"/>
    </w:rPr>
  </w:style>
  <w:style w:type="character" w:styleId="Refdenotaalpie">
    <w:name w:val="footnote reference"/>
    <w:basedOn w:val="Fuentedeprrafopredeter"/>
    <w:rsid w:val="00486D4B"/>
    <w:rPr>
      <w:rFonts w:cs="Times New Roman"/>
      <w:vertAlign w:val="superscript"/>
    </w:rPr>
  </w:style>
  <w:style w:type="paragraph" w:customStyle="1" w:styleId="p1">
    <w:name w:val="p1"/>
    <w:basedOn w:val="Normal"/>
    <w:rsid w:val="00486D4B"/>
    <w:pPr>
      <w:widowControl w:val="0"/>
      <w:tabs>
        <w:tab w:val="left" w:pos="16640"/>
      </w:tabs>
      <w:suppressAutoHyphens/>
      <w:spacing w:line="240" w:lineRule="atLeast"/>
      <w:ind w:left="7600"/>
      <w:jc w:val="both"/>
    </w:pPr>
    <w:rPr>
      <w:rFonts w:ascii="Times" w:hAnsi="Times"/>
      <w:szCs w:val="20"/>
      <w:lang w:eastAsia="ar-SA"/>
    </w:rPr>
  </w:style>
  <w:style w:type="paragraph" w:styleId="Lista3">
    <w:name w:val="List 3"/>
    <w:basedOn w:val="Normal"/>
    <w:uiPriority w:val="99"/>
    <w:unhideWhenUsed/>
    <w:rsid w:val="00486D4B"/>
    <w:pPr>
      <w:spacing w:after="200" w:line="276" w:lineRule="auto"/>
      <w:ind w:left="849" w:hanging="283"/>
      <w:contextualSpacing/>
    </w:pPr>
    <w:rPr>
      <w:rFonts w:ascii="Calibri" w:eastAsia="Calibri" w:hAnsi="Calibri"/>
      <w:sz w:val="22"/>
      <w:szCs w:val="22"/>
      <w:lang w:eastAsia="en-US"/>
    </w:rPr>
  </w:style>
  <w:style w:type="paragraph" w:styleId="Sinespaciado">
    <w:name w:val="No Spacing"/>
    <w:uiPriority w:val="1"/>
    <w:qFormat/>
    <w:rsid w:val="00486D4B"/>
    <w:pPr>
      <w:spacing w:after="0" w:line="240" w:lineRule="auto"/>
    </w:pPr>
    <w:rPr>
      <w:rFonts w:ascii="Calibri" w:eastAsia="Times New Roman" w:hAnsi="Calibri" w:cs="Times New Roman"/>
      <w:lang w:eastAsia="es-ES"/>
    </w:rPr>
  </w:style>
  <w:style w:type="paragraph" w:styleId="Textonotapie">
    <w:name w:val="footnote text"/>
    <w:aliases w:val="Car,Car Car Car,Car4,Texto nota pie1,Texto independiente1, Car, Car4,Body Text, Car2 Car Car Car Car Car, Car2 Car, Car2, Car1 Car, Car2 Car1 Car, Car Car Car, Car1,Car1 Car Car,Car1 Car,Car Car Car Car Car,Texto independiente2"/>
    <w:basedOn w:val="Normal"/>
    <w:link w:val="TextonotapieCar"/>
    <w:rsid w:val="00486D4B"/>
    <w:rPr>
      <w:rFonts w:eastAsia="Batang"/>
      <w:sz w:val="20"/>
      <w:szCs w:val="20"/>
      <w:lang w:eastAsia="es-PE"/>
    </w:rPr>
  </w:style>
  <w:style w:type="character" w:customStyle="1" w:styleId="TextonotapieCar">
    <w:name w:val="Texto nota pie Car"/>
    <w:aliases w:val="Car Car,Car Car Car Car,Car4 Car,Texto nota pie1 Car,Texto independiente1 Car, Car Car, Car4 Car,Body Text Car, Car2 Car Car Car Car Car Car, Car2 Car Car, Car2 Car1, Car1 Car Car, Car2 Car1 Car Car, Car Car Car Car, Car1 Car1"/>
    <w:basedOn w:val="Fuentedeprrafopredeter"/>
    <w:link w:val="Textonotapie"/>
    <w:rsid w:val="00486D4B"/>
    <w:rPr>
      <w:rFonts w:ascii="Times New Roman" w:eastAsia="Batang" w:hAnsi="Times New Roman" w:cs="Times New Roman"/>
      <w:sz w:val="20"/>
      <w:szCs w:val="20"/>
      <w:lang w:eastAsia="es-PE"/>
    </w:rPr>
  </w:style>
  <w:style w:type="table" w:styleId="Tablaconcuadrcula">
    <w:name w:val="Table Grid"/>
    <w:basedOn w:val="Tablanormal"/>
    <w:uiPriority w:val="59"/>
    <w:rsid w:val="00486D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rrafodelista1">
    <w:name w:val="Párrafo de lista1"/>
    <w:basedOn w:val="Normal"/>
    <w:rsid w:val="009613E2"/>
    <w:pPr>
      <w:widowControl w:val="0"/>
      <w:suppressAutoHyphens/>
      <w:ind w:left="720"/>
      <w:contextualSpacing/>
    </w:pPr>
    <w:rPr>
      <w:rFonts w:eastAsia="Calibri"/>
      <w:szCs w:val="20"/>
      <w:lang w:val="es-ES_tradnl"/>
    </w:rPr>
  </w:style>
  <w:style w:type="paragraph" w:customStyle="1" w:styleId="Prrafodelista2">
    <w:name w:val="Párrafo de lista2"/>
    <w:basedOn w:val="Normal"/>
    <w:rsid w:val="009613E2"/>
    <w:pPr>
      <w:widowControl w:val="0"/>
      <w:suppressAutoHyphens/>
      <w:ind w:left="720"/>
    </w:pPr>
    <w:rPr>
      <w:rFonts w:eastAsia="Calibri"/>
      <w:szCs w:val="20"/>
      <w:lang w:val="es-ES_tradnl"/>
    </w:rPr>
  </w:style>
  <w:style w:type="paragraph" w:styleId="Textodeglobo">
    <w:name w:val="Balloon Text"/>
    <w:basedOn w:val="Normal"/>
    <w:link w:val="TextodegloboCar"/>
    <w:uiPriority w:val="99"/>
    <w:semiHidden/>
    <w:unhideWhenUsed/>
    <w:rsid w:val="0077339D"/>
    <w:rPr>
      <w:rFonts w:ascii="Tahoma" w:hAnsi="Tahoma" w:cs="Tahoma"/>
      <w:sz w:val="16"/>
      <w:szCs w:val="16"/>
    </w:rPr>
  </w:style>
  <w:style w:type="character" w:customStyle="1" w:styleId="TextodegloboCar">
    <w:name w:val="Texto de globo Car"/>
    <w:basedOn w:val="Fuentedeprrafopredeter"/>
    <w:link w:val="Textodeglobo"/>
    <w:uiPriority w:val="99"/>
    <w:semiHidden/>
    <w:rsid w:val="0077339D"/>
    <w:rPr>
      <w:rFonts w:ascii="Tahoma" w:eastAsia="Times New Roman" w:hAnsi="Tahoma" w:cs="Tahoma"/>
      <w:sz w:val="16"/>
      <w:szCs w:val="16"/>
      <w:lang w:eastAsia="es-ES"/>
    </w:rPr>
  </w:style>
  <w:style w:type="paragraph" w:styleId="Encabezado">
    <w:name w:val="header"/>
    <w:aliases w:val="maria,h"/>
    <w:basedOn w:val="Normal"/>
    <w:link w:val="EncabezadoCar"/>
    <w:uiPriority w:val="99"/>
    <w:semiHidden/>
    <w:unhideWhenUsed/>
    <w:rsid w:val="00491486"/>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491486"/>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99569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17</Pages>
  <Words>4910</Words>
  <Characters>27007</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9</cp:revision>
  <cp:lastPrinted>2011-04-20T17:28:00Z</cp:lastPrinted>
  <dcterms:created xsi:type="dcterms:W3CDTF">2011-04-20T16:20:00Z</dcterms:created>
  <dcterms:modified xsi:type="dcterms:W3CDTF">2011-05-09T14:19:00Z</dcterms:modified>
</cp:coreProperties>
</file>